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550D2">
      <w:pPr>
        <w:pStyle w:val="114"/>
        <w:framePr w:w="6003" w:wrap="around" w:vAnchor="page" w:hAnchor="page" w:x="4540" w:y="626"/>
        <w:rPr>
          <w:sz w:val="72"/>
          <w:szCs w:val="72"/>
        </w:rPr>
      </w:pPr>
      <w:r>
        <w:rPr>
          <w:rFonts w:hint="eastAsia"/>
          <w:sz w:val="72"/>
          <w:szCs w:val="72"/>
        </w:rPr>
        <w:t>CCECTA</w:t>
      </w:r>
    </w:p>
    <w:p w14:paraId="638D4C69">
      <w:pPr>
        <w:pStyle w:val="126"/>
        <w:framePr w:w="10128" w:h="946" w:hRule="exact" w:wrap="around" w:x="1323" w:y="2101"/>
        <w:rPr>
          <w:rFonts w:ascii="汉仪中宋简" w:hAnsi="汉仪中宋简" w:eastAsia="汉仪中宋简" w:cs="汉仪中宋简"/>
          <w:spacing w:val="0"/>
          <w:w w:val="128"/>
          <w:szCs w:val="48"/>
        </w:rPr>
      </w:pPr>
      <w:bookmarkStart w:id="0" w:name="StdName"/>
      <w:r>
        <w:rPr>
          <w:rFonts w:hint="eastAsia" w:ascii="汉仪中宋简" w:hAnsi="汉仪中宋简" w:eastAsia="汉仪中宋简" w:cs="汉仪中宋简"/>
          <w:b w:val="0"/>
          <w:bCs w:val="0"/>
          <w:spacing w:val="0"/>
          <w:w w:val="128"/>
          <w:szCs w:val="48"/>
        </w:rPr>
        <w:t>中国化工节能技术协会团体标准</w:t>
      </w:r>
    </w:p>
    <w:p w14:paraId="7A97AFC4">
      <w:pPr>
        <w:pStyle w:val="72"/>
        <w:framePr w:w="9584" w:h="1141" w:hRule="exact" w:wrap="around" w:x="1456" w:y="3001"/>
        <w:rPr>
          <w:rFonts w:ascii="Times New Roman"/>
        </w:rPr>
      </w:pPr>
      <w:r>
        <w:rPr>
          <w:rFonts w:ascii="Times New Roman"/>
          <w:b/>
          <w:bCs/>
        </w:rPr>
        <w:t>T</w:t>
      </w:r>
      <w:r>
        <w:rPr>
          <w:rFonts w:hint="eastAsia" w:hAnsi="黑体" w:cs="黑体"/>
          <w:b/>
          <w:bCs/>
        </w:rPr>
        <w:t>/</w:t>
      </w:r>
      <w:r>
        <w:rPr>
          <w:rFonts w:ascii="Times New Roman"/>
          <w:b/>
          <w:bCs/>
        </w:rPr>
        <w:t>CCECTA</w:t>
      </w:r>
      <w:r>
        <w:rPr>
          <w:rFonts w:hint="eastAsia" w:hAnsi="黑体"/>
        </w:rPr>
        <w:t>00</w:t>
      </w:r>
      <w:r>
        <w:rPr>
          <w:rFonts w:hAnsi="黑体"/>
        </w:rPr>
        <w:t>XX</w:t>
      </w:r>
      <w:r>
        <w:rPr>
          <w:rFonts w:hint="eastAsia" w:hAnsi="黑体"/>
          <w:b/>
          <w:bCs/>
        </w:rPr>
        <w:t>-</w:t>
      </w:r>
      <w:r>
        <w:rPr>
          <w:rFonts w:hint="eastAsia" w:hAnsi="黑体"/>
        </w:rPr>
        <w:t>2024</w:t>
      </w:r>
    </w:p>
    <w:bookmarkEnd w:id="0"/>
    <w:p w14:paraId="0F6BBA78">
      <w:pPr>
        <w:pStyle w:val="75"/>
        <w:framePr w:wrap="around" w:x="1359" w:y="6300"/>
        <w:rPr>
          <w:szCs w:val="52"/>
        </w:rPr>
      </w:pPr>
      <w:r>
        <w:rPr>
          <w:rFonts w:hint="eastAsia"/>
          <w:szCs w:val="52"/>
        </w:rPr>
        <w:t>现代煤化工行业</w:t>
      </w:r>
      <w:bookmarkStart w:id="1" w:name="_Hlk157975805"/>
      <w:r>
        <w:rPr>
          <w:rFonts w:hint="eastAsia"/>
          <w:szCs w:val="52"/>
        </w:rPr>
        <w:t>污染治理措施</w:t>
      </w:r>
      <w:bookmarkEnd w:id="1"/>
    </w:p>
    <w:p w14:paraId="674660F3">
      <w:pPr>
        <w:pStyle w:val="75"/>
        <w:framePr w:wrap="around" w:x="1359" w:y="6300"/>
        <w:rPr>
          <w:szCs w:val="52"/>
        </w:rPr>
      </w:pPr>
      <w:r>
        <w:rPr>
          <w:rFonts w:hint="eastAsia"/>
          <w:szCs w:val="52"/>
        </w:rPr>
        <w:t>碳排放水平基准</w:t>
      </w:r>
    </w:p>
    <w:p w14:paraId="732243A2">
      <w:pPr>
        <w:pStyle w:val="75"/>
        <w:framePr w:wrap="around" w:x="1359" w:y="6300"/>
        <w:spacing w:line="240" w:lineRule="auto"/>
        <w:rPr>
          <w:rFonts w:ascii="Times New Roman"/>
        </w:rPr>
      </w:pPr>
    </w:p>
    <w:p w14:paraId="573B7BEB">
      <w:pPr>
        <w:pStyle w:val="88"/>
        <w:framePr w:wrap="around" w:x="1359" w:y="6300"/>
        <w:rPr>
          <w:rFonts w:eastAsia="宋体"/>
          <w:b/>
          <w:bCs/>
          <w:color w:val="000000"/>
        </w:rPr>
      </w:pPr>
      <w:r>
        <w:rPr>
          <w:rFonts w:eastAsia="宋体"/>
          <w:b/>
          <w:bCs/>
          <w:color w:val="000000"/>
        </w:rPr>
        <w:t xml:space="preserve">Carbon emission </w:t>
      </w:r>
      <w:r>
        <w:rPr>
          <w:b/>
          <w:bCs/>
          <w:color w:val="000000"/>
        </w:rPr>
        <w:t xml:space="preserve">performance </w:t>
      </w:r>
      <w:r>
        <w:rPr>
          <w:rFonts w:hint="eastAsia" w:eastAsia="宋体"/>
          <w:b/>
          <w:bCs/>
          <w:color w:val="000000"/>
        </w:rPr>
        <w:t>of</w:t>
      </w:r>
      <w:bookmarkStart w:id="2" w:name="_Hlk157977221"/>
      <w:r>
        <w:rPr>
          <w:rFonts w:hint="eastAsia" w:eastAsia="宋体"/>
          <w:b/>
          <w:bCs/>
          <w:color w:val="000000"/>
        </w:rPr>
        <w:t xml:space="preserve"> </w:t>
      </w:r>
      <w:r>
        <w:rPr>
          <w:rFonts w:eastAsia="宋体"/>
          <w:b/>
          <w:bCs/>
          <w:color w:val="000000"/>
        </w:rPr>
        <w:t>pollution control measure</w:t>
      </w:r>
      <w:bookmarkEnd w:id="2"/>
      <w:r>
        <w:rPr>
          <w:rFonts w:hint="eastAsia" w:eastAsia="宋体"/>
          <w:b/>
          <w:bCs/>
          <w:color w:val="000000"/>
        </w:rPr>
        <w:t xml:space="preserve"> in </w:t>
      </w:r>
      <w:bookmarkStart w:id="3" w:name="_Hlk157979775"/>
      <w:r>
        <w:rPr>
          <w:b/>
          <w:bCs/>
          <w:color w:val="000000"/>
        </w:rPr>
        <w:t>modern coal chemical industry</w:t>
      </w:r>
      <w:bookmarkEnd w:id="3"/>
    </w:p>
    <w:p w14:paraId="388FACE5">
      <w:pPr>
        <w:pStyle w:val="88"/>
        <w:framePr w:wrap="around" w:x="1359" w:y="6300"/>
        <w:tabs>
          <w:tab w:val="left" w:pos="1264"/>
          <w:tab w:val="center" w:pos="4888"/>
        </w:tabs>
        <w:spacing w:before="0"/>
        <w:rPr>
          <w:b/>
          <w:bCs/>
          <w:sz w:val="24"/>
          <w:szCs w:val="24"/>
        </w:rPr>
      </w:pPr>
    </w:p>
    <w:p w14:paraId="5486C53F">
      <w:pPr>
        <w:pStyle w:val="88"/>
        <w:framePr w:wrap="around" w:x="1359" w:y="6300"/>
      </w:pPr>
      <w:r>
        <w:rPr>
          <w:rFonts w:hint="eastAsia"/>
        </w:rPr>
        <w:t>（</w:t>
      </w:r>
      <w:r>
        <w:rPr>
          <w:rFonts w:hint="eastAsia"/>
          <w:lang w:val="en-US" w:eastAsia="zh-CN"/>
        </w:rPr>
        <w:t>征求意见</w:t>
      </w:r>
      <w:r>
        <w:rPr>
          <w:rFonts w:hint="eastAsia"/>
        </w:rPr>
        <w:t>稿）</w:t>
      </w:r>
    </w:p>
    <w:p w14:paraId="6F01F130">
      <w:pPr>
        <w:pStyle w:val="88"/>
        <w:framePr w:wrap="around" w:x="1359" w:y="6300"/>
      </w:pPr>
    </w:p>
    <w:p w14:paraId="790C1FA8">
      <w:pPr>
        <w:pStyle w:val="98"/>
        <w:framePr w:wrap="around" w:x="1359" w:y="6300"/>
        <w:rPr>
          <w:rFonts w:ascii="Times New Roman"/>
        </w:rPr>
      </w:pPr>
    </w:p>
    <w:tbl>
      <w:tblPr>
        <w:tblStyle w:val="3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638D98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33CF215E">
            <w:pPr>
              <w:pStyle w:val="97"/>
              <w:framePr w:wrap="around" w:x="1359" w:y="6300"/>
              <w:rPr>
                <w:rFonts w:ascii="Times New Roman"/>
              </w:rPr>
            </w:pPr>
          </w:p>
        </w:tc>
      </w:tr>
      <w:tr w14:paraId="1C419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70293522">
            <w:pPr>
              <w:pStyle w:val="96"/>
              <w:framePr w:wrap="around" w:x="1359" w:y="6300"/>
              <w:rPr>
                <w:rFonts w:ascii="Times New Roman"/>
              </w:rPr>
            </w:pPr>
          </w:p>
        </w:tc>
      </w:tr>
    </w:tbl>
    <w:p w14:paraId="09332DF2">
      <w:pPr>
        <w:pStyle w:val="120"/>
        <w:framePr w:wrap="around" w:hAnchor="page" w:x="1440" w:y="14038"/>
        <w:rPr>
          <w:rFonts w:ascii="黑体" w:hAnsi="黑体" w:cs="黑体"/>
        </w:rPr>
      </w:pPr>
      <w:r>
        <w:rPr>
          <w:rFonts w:hint="eastAsia" w:ascii="黑体" w:hAnsi="黑体" w:cs="黑体"/>
        </w:rPr>
        <w:t>20</w:t>
      </w:r>
      <w:r>
        <w:rPr>
          <w:rFonts w:ascii="黑体" w:hAnsi="黑体" w:cs="黑体"/>
        </w:rPr>
        <w:t>XX</w:t>
      </w:r>
      <w:r>
        <w:rPr>
          <w:rFonts w:hint="eastAsia" w:ascii="黑体" w:hAnsi="黑体" w:cs="黑体"/>
        </w:rPr>
        <w:t>-</w:t>
      </w:r>
      <w:r>
        <w:rPr>
          <w:rFonts w:ascii="黑体" w:hAnsi="黑体" w:cs="黑体"/>
        </w:rPr>
        <w:t>XX</w:t>
      </w:r>
      <w:r>
        <w:rPr>
          <w:rFonts w:hint="eastAsia" w:ascii="黑体" w:hAnsi="黑体" w:cs="黑体"/>
        </w:rPr>
        <w:t>-</w:t>
      </w:r>
      <w:r>
        <w:rPr>
          <w:rFonts w:ascii="黑体" w:hAnsi="黑体" w:cs="黑体"/>
        </w:rPr>
        <w:t>XX</w:t>
      </w:r>
      <w:r>
        <w:rPr>
          <w:rFonts w:hint="eastAsia" w:ascii="黑体" w:hAnsi="黑体" w:cs="黑体"/>
        </w:rPr>
        <w:t>发布</w:t>
      </w:r>
      <w:r>
        <w:rPr>
          <w:rFonts w:ascii="黑体" w:hAnsi="黑体" w:cs="黑体"/>
        </w:rPr>
        <w:pict>
          <v:line id="_x0000_s2058" o:spid="_x0000_s2058" o:spt="20" style="position:absolute;left:0pt;margin-left:-0.05pt;margin-top:728.5pt;height:0pt;width:481.9pt;mso-position-vertical-relative:page;z-index:251663360;mso-width-relative:page;mso-height-relative:page;" coordsize="21600,21600">
            <v:path arrowok="t"/>
            <v:fill focussize="0,0"/>
            <v:stroke/>
            <v:imagedata o:title=""/>
            <o:lock v:ext="edit"/>
            <w10:anchorlock/>
          </v:line>
        </w:pict>
      </w:r>
    </w:p>
    <w:p w14:paraId="03674A5E">
      <w:pPr>
        <w:pStyle w:val="140"/>
        <w:framePr w:wrap="around" w:hAnchor="page" w:x="7063" w:y="14075"/>
      </w:pPr>
      <w:r>
        <w:rPr>
          <w:rFonts w:hint="eastAsia" w:ascii="黑体" w:hAnsi="黑体" w:cs="黑体"/>
        </w:rPr>
        <w:t>20</w:t>
      </w:r>
      <w:r>
        <w:rPr>
          <w:rFonts w:ascii="黑体" w:hAnsi="黑体" w:cs="黑体"/>
        </w:rPr>
        <w:t>XX</w:t>
      </w:r>
      <w:r>
        <w:rPr>
          <w:rFonts w:hint="eastAsia" w:ascii="黑体" w:hAnsi="黑体" w:cs="黑体"/>
        </w:rPr>
        <w:t>-</w:t>
      </w:r>
      <w:r>
        <w:rPr>
          <w:rFonts w:ascii="黑体" w:hAnsi="黑体" w:cs="黑体"/>
        </w:rPr>
        <w:t>XX</w:t>
      </w:r>
      <w:r>
        <w:rPr>
          <w:rFonts w:hint="eastAsia" w:ascii="黑体" w:hAnsi="黑体" w:cs="黑体"/>
        </w:rPr>
        <w:t>-</w:t>
      </w:r>
      <w:r>
        <w:rPr>
          <w:rFonts w:ascii="黑体" w:hAnsi="黑体" w:cs="黑体"/>
        </w:rPr>
        <w:t>XX</w:t>
      </w:r>
      <w:r>
        <w:rPr>
          <w:rFonts w:hint="eastAsia" w:ascii="黑体" w:hAnsi="黑体" w:cs="黑体"/>
        </w:rPr>
        <w:t>实施</w:t>
      </w:r>
    </w:p>
    <w:p w14:paraId="065CF757">
      <w:pPr>
        <w:pStyle w:val="68"/>
        <w:framePr w:w="9175" w:wrap="around" w:x="1609" w:y="14804"/>
        <w:rPr>
          <w:rFonts w:ascii="Times New Roman"/>
        </w:rPr>
      </w:pPr>
      <w:r>
        <w:rPr>
          <w:rFonts w:hint="eastAsia" w:ascii="汉仪中宋简" w:hAnsi="汉仪中宋简" w:eastAsia="汉仪中宋简" w:cs="汉仪中宋简"/>
          <w:b w:val="0"/>
          <w:bCs/>
          <w:w w:val="128"/>
          <w:sz w:val="32"/>
          <w:szCs w:val="32"/>
        </w:rPr>
        <w:t>中国化工节能技术协会</w:t>
      </w:r>
      <w:r>
        <w:rPr>
          <w:rFonts w:ascii="Times New Roman" w:eastAsia="黑体"/>
          <w:b w:val="0"/>
          <w:w w:val="100"/>
          <w:szCs w:val="22"/>
        </w:rPr>
        <w:t xml:space="preserve">  发 布</w:t>
      </w:r>
    </w:p>
    <w:p w14:paraId="04B0F480">
      <w:pPr>
        <w:pStyle w:val="25"/>
        <w:ind w:firstLine="0" w:firstLineChars="0"/>
        <w:rPr>
          <w:rFonts w:ascii="黑体" w:hAnsi="黑体" w:eastAsia="黑体" w:cs="黑体"/>
        </w:rPr>
      </w:pPr>
      <w:r>
        <w:rPr>
          <w:rFonts w:ascii="Times New Roman"/>
          <w:b/>
          <w:bCs/>
        </w:rPr>
        <w:t>ICS</w:t>
      </w:r>
      <w:r>
        <w:rPr>
          <w:rFonts w:ascii="黑体" w:hAnsi="黑体" w:eastAsia="黑体" w:cs="黑体"/>
        </w:rPr>
        <w:t>XX</w:t>
      </w:r>
      <w:r>
        <w:rPr>
          <w:rFonts w:hint="eastAsia" w:ascii="黑体" w:hAnsi="黑体" w:eastAsia="黑体" w:cs="黑体"/>
        </w:rPr>
        <w:t>.</w:t>
      </w:r>
      <w:r>
        <w:rPr>
          <w:rFonts w:ascii="Times New Roman"/>
          <w:b/>
          <w:bCs/>
        </w:rPr>
        <w:pict>
          <v:line id="_x0000_s2059" o:spid="_x0000_s2059" o:spt="20" style="position:absolute;left:0pt;margin-left:-0.05pt;margin-top:184.25pt;height:0pt;width:481.9pt;z-index:251664384;mso-width-relative:page;mso-height-relative:page;" coordsize="21600,21600">
            <v:path arrowok="t"/>
            <v:fill focussize="0,0"/>
            <v:stroke/>
            <v:imagedata o:title=""/>
            <o:lock v:ext="edit"/>
          </v:line>
        </w:pict>
      </w:r>
      <w:r>
        <w:rPr>
          <w:rFonts w:ascii="黑体" w:hAnsi="黑体" w:eastAsia="黑体" w:cs="黑体"/>
        </w:rPr>
        <w:t>XXX</w:t>
      </w:r>
    </w:p>
    <w:p w14:paraId="127CA528">
      <w:pPr>
        <w:rPr>
          <w:rFonts w:ascii="黑体" w:hAnsi="黑体" w:eastAsia="黑体" w:cs="黑体"/>
        </w:rPr>
      </w:pPr>
      <w:r>
        <w:rPr>
          <w:b/>
          <w:bCs/>
        </w:rPr>
        <w:t>CCS</w:t>
      </w:r>
      <w:r>
        <w:rPr>
          <w:rFonts w:ascii="黑体" w:hAnsi="黑体" w:eastAsia="黑体" w:cs="黑体"/>
        </w:rPr>
        <w:t>X XX</w:t>
      </w:r>
    </w:p>
    <w:p w14:paraId="51277879">
      <w:pPr>
        <w:rPr>
          <w:rFonts w:ascii="黑体" w:hAnsi="黑体" w:eastAsia="黑体" w:cs="黑体"/>
        </w:rPr>
        <w:sectPr>
          <w:pgSz w:w="11906" w:h="16838"/>
          <w:pgMar w:top="567" w:right="850" w:bottom="1134" w:left="1418" w:header="0" w:footer="0" w:gutter="0"/>
          <w:pgNumType w:start="1"/>
          <w:cols w:space="720" w:num="1"/>
          <w:docGrid w:type="lines" w:linePitch="312" w:charSpace="0"/>
        </w:sectPr>
      </w:pPr>
    </w:p>
    <w:p w14:paraId="0F91B1E0">
      <w:pPr>
        <w:pStyle w:val="92"/>
        <w:adjustRightInd w:val="0"/>
        <w:spacing w:before="25" w:after="25" w:line="240" w:lineRule="auto"/>
        <w:rPr>
          <w:rFonts w:ascii="Times New Roman"/>
        </w:rPr>
      </w:pPr>
      <w:bookmarkStart w:id="4" w:name="_Toc470861604"/>
      <w:bookmarkStart w:id="5" w:name="_Toc464500333"/>
      <w:bookmarkStart w:id="6" w:name="_Toc464466067"/>
      <w:bookmarkStart w:id="7" w:name="_Toc121175258"/>
      <w:r>
        <w:rPr>
          <w:rFonts w:ascii="Times New Roman"/>
        </w:rPr>
        <w:t>前</w:t>
      </w:r>
      <w:bookmarkStart w:id="8" w:name="BKQY"/>
      <w:r>
        <w:rPr>
          <w:rFonts w:ascii="Times New Roman"/>
        </w:rPr>
        <w:t>  言</w:t>
      </w:r>
      <w:bookmarkEnd w:id="4"/>
      <w:bookmarkEnd w:id="5"/>
      <w:bookmarkEnd w:id="6"/>
      <w:bookmarkEnd w:id="7"/>
      <w:bookmarkEnd w:id="8"/>
    </w:p>
    <w:p w14:paraId="5D0574CC">
      <w:pPr>
        <w:pStyle w:val="25"/>
        <w:ind w:firstLine="405" w:firstLineChars="0"/>
        <w:rPr>
          <w:rFonts w:hAnsi="宋体"/>
        </w:rPr>
      </w:pPr>
      <w:r>
        <w:rPr>
          <w:rFonts w:hint="eastAsia" w:hAnsi="宋体"/>
        </w:rPr>
        <w:t>为贯彻落实《中共中央 国务院关于完整准确全面贯彻新发展理念做好碳达峰碳中和工作的意见》、《减污降碳协同增效实施方案》等碳达峰“1+N”系列顶层设计文件相关要求，对标行业先进碳排放水平及实现二氧化碳和污染物协同管理，助力实现行业碳达峰、碳中和目标，推动我国现代煤化工行业绿色发展迈上新台阶，实现行业高质量可持续发展，制定本标准。</w:t>
      </w:r>
    </w:p>
    <w:p w14:paraId="39F5FD8B">
      <w:pPr>
        <w:pStyle w:val="25"/>
        <w:ind w:firstLine="405" w:firstLineChars="0"/>
        <w:rPr>
          <w:rFonts w:hAnsi="宋体"/>
        </w:rPr>
      </w:pPr>
      <w:r>
        <w:rPr>
          <w:rFonts w:hAnsi="宋体"/>
        </w:rPr>
        <w:t>本</w:t>
      </w:r>
      <w:r>
        <w:rPr>
          <w:rFonts w:hint="eastAsia" w:hAnsi="宋体"/>
        </w:rPr>
        <w:t>文件</w:t>
      </w:r>
      <w:r>
        <w:rPr>
          <w:rFonts w:hAnsi="宋体"/>
        </w:rPr>
        <w:t>按照GB</w:t>
      </w:r>
      <w:r>
        <w:rPr>
          <w:rFonts w:hint="eastAsia" w:hAnsi="宋体" w:cs="宋体"/>
        </w:rPr>
        <w:t>/</w:t>
      </w:r>
      <w:r>
        <w:rPr>
          <w:rFonts w:hAnsi="宋体"/>
        </w:rPr>
        <w:t>T1.1</w:t>
      </w:r>
      <w:r>
        <w:rPr>
          <w:rFonts w:hint="eastAsia" w:hAnsi="宋体" w:cs="黑体"/>
        </w:rPr>
        <w:t>—</w:t>
      </w:r>
      <w:r>
        <w:rPr>
          <w:rFonts w:hAnsi="宋体"/>
        </w:rPr>
        <w:t>20</w:t>
      </w:r>
      <w:r>
        <w:rPr>
          <w:rFonts w:hint="eastAsia" w:hAnsi="宋体"/>
        </w:rPr>
        <w:t>20</w:t>
      </w:r>
      <w:r>
        <w:rPr>
          <w:rFonts w:hAnsi="宋体"/>
        </w:rPr>
        <w:t>的规</w:t>
      </w:r>
      <w:r>
        <w:rPr>
          <w:rFonts w:hint="eastAsia" w:hAnsi="宋体"/>
        </w:rPr>
        <w:t>定</w:t>
      </w:r>
      <w:r>
        <w:rPr>
          <w:rFonts w:hAnsi="宋体"/>
        </w:rPr>
        <w:t>起草。</w:t>
      </w:r>
      <w:r>
        <w:rPr>
          <w:rFonts w:hint="eastAsia" w:hAnsi="宋体"/>
        </w:rPr>
        <w:t>本文件为首次发布。</w:t>
      </w:r>
    </w:p>
    <w:p w14:paraId="6D0B514F">
      <w:pPr>
        <w:pStyle w:val="25"/>
        <w:rPr>
          <w:rFonts w:hAnsi="宋体"/>
        </w:rPr>
      </w:pPr>
      <w:r>
        <w:rPr>
          <w:rFonts w:hint="eastAsia" w:hAnsi="宋体"/>
        </w:rPr>
        <w:t>本文件根据行业发展和降碳措施进步动态调整。</w:t>
      </w:r>
    </w:p>
    <w:p w14:paraId="45602EBA">
      <w:pPr>
        <w:pStyle w:val="25"/>
        <w:rPr>
          <w:rFonts w:hAnsi="宋体"/>
        </w:rPr>
      </w:pPr>
      <w:r>
        <w:rPr>
          <w:rFonts w:hint="eastAsia" w:hAnsi="宋体"/>
        </w:rPr>
        <w:t>新建企业自</w:t>
      </w:r>
      <w:r>
        <w:rPr>
          <w:rFonts w:hint="eastAsia" w:hAnsi="宋体"/>
          <w:lang w:val="en-US" w:eastAsia="zh-CN"/>
        </w:rPr>
        <w:t>xx</w:t>
      </w:r>
      <w:r>
        <w:rPr>
          <w:rFonts w:hint="eastAsia" w:hAnsi="宋体"/>
        </w:rPr>
        <w:t>年</w:t>
      </w:r>
      <w:r>
        <w:rPr>
          <w:rFonts w:hint="eastAsia" w:hAnsi="宋体"/>
          <w:highlight w:val="yellow"/>
          <w:lang w:val="en-US" w:eastAsia="zh-CN"/>
        </w:rPr>
        <w:t>x</w:t>
      </w:r>
      <w:r>
        <w:rPr>
          <w:rFonts w:hint="eastAsia" w:hAnsi="宋体"/>
          <w:highlight w:val="yellow"/>
        </w:rPr>
        <w:t>月</w:t>
      </w:r>
      <w:r>
        <w:rPr>
          <w:rFonts w:hint="eastAsia" w:hAnsi="宋体"/>
          <w:highlight w:val="yellow"/>
          <w:lang w:val="en-US" w:eastAsia="zh-CN"/>
        </w:rPr>
        <w:t>x</w:t>
      </w:r>
      <w:r>
        <w:rPr>
          <w:rFonts w:hint="eastAsia" w:hAnsi="宋体"/>
          <w:highlight w:val="yellow"/>
        </w:rPr>
        <w:t>日</w:t>
      </w:r>
      <w:r>
        <w:rPr>
          <w:rFonts w:hint="eastAsia" w:hAnsi="宋体"/>
        </w:rPr>
        <w:t>起执行，现有企业自</w:t>
      </w:r>
      <w:r>
        <w:rPr>
          <w:rFonts w:hint="eastAsia" w:hAnsi="宋体"/>
          <w:lang w:val="en-US" w:eastAsia="zh-CN"/>
        </w:rPr>
        <w:t>xx</w:t>
      </w:r>
      <w:r>
        <w:rPr>
          <w:rFonts w:hint="eastAsia" w:hAnsi="宋体"/>
        </w:rPr>
        <w:t>年</w:t>
      </w:r>
      <w:r>
        <w:rPr>
          <w:rFonts w:hint="eastAsia" w:hAnsi="宋体"/>
          <w:highlight w:val="yellow"/>
          <w:lang w:val="en-US" w:eastAsia="zh-CN"/>
        </w:rPr>
        <w:t>x</w:t>
      </w:r>
      <w:r>
        <w:rPr>
          <w:rFonts w:hint="eastAsia" w:hAnsi="宋体"/>
          <w:highlight w:val="yellow"/>
        </w:rPr>
        <w:t>月</w:t>
      </w:r>
      <w:r>
        <w:rPr>
          <w:rFonts w:hint="eastAsia" w:hAnsi="宋体"/>
          <w:highlight w:val="yellow"/>
          <w:lang w:val="en-US" w:eastAsia="zh-CN"/>
        </w:rPr>
        <w:t>x</w:t>
      </w:r>
      <w:r>
        <w:rPr>
          <w:rFonts w:hint="eastAsia" w:hAnsi="宋体"/>
          <w:highlight w:val="yellow"/>
        </w:rPr>
        <w:t>日</w:t>
      </w:r>
      <w:r>
        <w:rPr>
          <w:rFonts w:hint="eastAsia" w:hAnsi="宋体"/>
        </w:rPr>
        <w:t>执行。</w:t>
      </w:r>
    </w:p>
    <w:p w14:paraId="082AA03E">
      <w:pPr>
        <w:pStyle w:val="25"/>
        <w:ind w:firstLine="405" w:firstLineChars="0"/>
        <w:rPr>
          <w:rFonts w:hAnsi="宋体"/>
        </w:rPr>
      </w:pPr>
      <w:r>
        <w:rPr>
          <w:rFonts w:hAnsi="宋体"/>
        </w:rPr>
        <w:t>本</w:t>
      </w:r>
      <w:r>
        <w:rPr>
          <w:rFonts w:hint="eastAsia" w:hAnsi="宋体"/>
        </w:rPr>
        <w:t>文件</w:t>
      </w:r>
      <w:r>
        <w:rPr>
          <w:rFonts w:hAnsi="宋体"/>
        </w:rPr>
        <w:t>由</w:t>
      </w:r>
      <w:r>
        <w:rPr>
          <w:rFonts w:hint="eastAsia" w:hAnsi="宋体"/>
        </w:rPr>
        <w:t>中国化工节能技术协</w:t>
      </w:r>
      <w:bookmarkStart w:id="61" w:name="_GoBack"/>
      <w:bookmarkEnd w:id="61"/>
      <w:r>
        <w:rPr>
          <w:rFonts w:hint="eastAsia" w:hAnsi="宋体"/>
        </w:rPr>
        <w:t>会</w:t>
      </w:r>
      <w:r>
        <w:rPr>
          <w:rFonts w:hAnsi="宋体"/>
        </w:rPr>
        <w:t>提出</w:t>
      </w:r>
      <w:r>
        <w:rPr>
          <w:rFonts w:hint="eastAsia" w:hAnsi="宋体"/>
        </w:rPr>
        <w:t>并归口</w:t>
      </w:r>
      <w:r>
        <w:rPr>
          <w:rFonts w:hAnsi="宋体"/>
        </w:rPr>
        <w:t>。</w:t>
      </w:r>
    </w:p>
    <w:p w14:paraId="46DFA47D">
      <w:pPr>
        <w:widowControl/>
        <w:ind w:firstLine="420" w:firstLineChars="200"/>
        <w:jc w:val="left"/>
        <w:rPr>
          <w:rFonts w:ascii="宋体" w:hAnsi="宋体"/>
          <w:kern w:val="0"/>
          <w:szCs w:val="20"/>
          <w:highlight w:val="yellow"/>
        </w:rPr>
      </w:pPr>
      <w:r>
        <w:rPr>
          <w:rFonts w:hAnsi="宋体"/>
          <w:highlight w:val="yellow"/>
        </w:rPr>
        <w:t>本</w:t>
      </w:r>
      <w:r>
        <w:rPr>
          <w:rFonts w:hint="eastAsia" w:hAnsi="宋体"/>
          <w:highlight w:val="yellow"/>
        </w:rPr>
        <w:t>文件</w:t>
      </w:r>
      <w:r>
        <w:rPr>
          <w:rFonts w:hAnsi="宋体"/>
          <w:highlight w:val="yellow"/>
        </w:rPr>
        <w:t>起草单位</w:t>
      </w:r>
      <w:r>
        <w:rPr>
          <w:rFonts w:ascii="宋体" w:hAnsi="宋体"/>
          <w:kern w:val="0"/>
          <w:szCs w:val="20"/>
          <w:highlight w:val="yellow"/>
        </w:rPr>
        <w:t>：</w:t>
      </w:r>
    </w:p>
    <w:p w14:paraId="736A0190">
      <w:pPr>
        <w:pStyle w:val="25"/>
        <w:rPr>
          <w:rFonts w:ascii="Times New Roman"/>
          <w:color w:val="FF0000"/>
        </w:rPr>
      </w:pPr>
      <w:r>
        <w:rPr>
          <w:rFonts w:hAnsi="宋体"/>
          <w:highlight w:val="yellow"/>
        </w:rPr>
        <w:t>本</w:t>
      </w:r>
      <w:r>
        <w:rPr>
          <w:rFonts w:hint="eastAsia" w:hAnsi="宋体"/>
          <w:highlight w:val="yellow"/>
        </w:rPr>
        <w:t>文件</w:t>
      </w:r>
      <w:r>
        <w:rPr>
          <w:rFonts w:hAnsi="宋体"/>
          <w:highlight w:val="yellow"/>
        </w:rPr>
        <w:t>主要起草人：</w:t>
      </w:r>
    </w:p>
    <w:p w14:paraId="6C489DB1">
      <w:pPr>
        <w:pStyle w:val="25"/>
        <w:ind w:firstLine="0" w:firstLineChars="0"/>
        <w:rPr>
          <w:rFonts w:ascii="Times New Roman"/>
        </w:rPr>
        <w:sectPr>
          <w:headerReference r:id="rId5" w:type="first"/>
          <w:footerReference r:id="rId8" w:type="first"/>
          <w:headerReference r:id="rId3" w:type="default"/>
          <w:footerReference r:id="rId6" w:type="default"/>
          <w:headerReference r:id="rId4" w:type="even"/>
          <w:footerReference r:id="rId7" w:type="even"/>
          <w:pgSz w:w="11906" w:h="16838"/>
          <w:pgMar w:top="567" w:right="1134" w:bottom="1134" w:left="1418" w:header="1418" w:footer="1134" w:gutter="0"/>
          <w:pgNumType w:fmt="upperRoman" w:start="1"/>
          <w:cols w:space="720" w:num="1"/>
          <w:formProt w:val="0"/>
          <w:titlePg/>
          <w:docGrid w:type="lines" w:linePitch="312" w:charSpace="0"/>
        </w:sectPr>
      </w:pPr>
    </w:p>
    <w:p w14:paraId="6F39D9F9">
      <w:pPr>
        <w:pStyle w:val="92"/>
        <w:spacing w:before="851" w:after="680" w:line="240" w:lineRule="auto"/>
      </w:pPr>
      <w:bookmarkStart w:id="9" w:name="_Hlk157979256"/>
      <w:bookmarkStart w:id="10" w:name="_Toc121175259"/>
      <w:r>
        <w:rPr>
          <w:rFonts w:hint="eastAsia"/>
        </w:rPr>
        <w:t>现代煤化工行业</w:t>
      </w:r>
      <w:bookmarkEnd w:id="9"/>
      <w:r>
        <w:rPr>
          <w:rFonts w:hint="eastAsia"/>
        </w:rPr>
        <w:t>污染治理措施碳排放水平基准</w:t>
      </w:r>
      <w:bookmarkEnd w:id="10"/>
    </w:p>
    <w:p w14:paraId="4FAB1450">
      <w:pPr>
        <w:pStyle w:val="131"/>
        <w:numPr>
          <w:ilvl w:val="0"/>
          <w:numId w:val="23"/>
        </w:numPr>
        <w:spacing w:before="312" w:after="312"/>
        <w:ind w:left="0" w:firstLine="0"/>
        <w:outlineLvl w:val="0"/>
      </w:pPr>
      <w:bookmarkStart w:id="11" w:name="_Toc436316672"/>
      <w:bookmarkStart w:id="12" w:name="_Toc121175260"/>
      <w:bookmarkStart w:id="13" w:name="_Toc436315521"/>
      <w:bookmarkStart w:id="14" w:name="_Toc436313975"/>
      <w:bookmarkStart w:id="15" w:name="_Toc436313693"/>
      <w:bookmarkStart w:id="16" w:name="_Toc436382413"/>
      <w:bookmarkStart w:id="17" w:name="_Toc436313840"/>
      <w:bookmarkStart w:id="18" w:name="_Toc436314071"/>
      <w:bookmarkStart w:id="19" w:name="_Toc436313955"/>
      <w:bookmarkStart w:id="20" w:name="_Toc436382578"/>
      <w:bookmarkStart w:id="21" w:name="_Toc436314000"/>
      <w:r>
        <w:rPr>
          <w:rFonts w:hint="eastAsia"/>
        </w:rPr>
        <w:t>范围</w:t>
      </w:r>
      <w:bookmarkEnd w:id="11"/>
      <w:bookmarkEnd w:id="12"/>
      <w:bookmarkEnd w:id="13"/>
      <w:bookmarkEnd w:id="14"/>
      <w:bookmarkEnd w:id="15"/>
      <w:bookmarkEnd w:id="16"/>
      <w:bookmarkEnd w:id="17"/>
      <w:bookmarkEnd w:id="18"/>
      <w:bookmarkEnd w:id="19"/>
      <w:bookmarkEnd w:id="20"/>
      <w:bookmarkEnd w:id="21"/>
    </w:p>
    <w:p w14:paraId="6B152931">
      <w:pPr>
        <w:pStyle w:val="25"/>
        <w:rPr>
          <w:rFonts w:ascii="Times New Roman"/>
        </w:rPr>
      </w:pPr>
      <w:r>
        <w:rPr>
          <w:rFonts w:hint="eastAsia" w:ascii="Times New Roman"/>
        </w:rPr>
        <w:t>本文件规定了现代煤化工行业废气、废水</w:t>
      </w:r>
      <w:r>
        <w:rPr>
          <w:rFonts w:hint="eastAsia"/>
        </w:rPr>
        <w:t>污染治理措施碳排放水平基准</w:t>
      </w:r>
      <w:r>
        <w:rPr>
          <w:rFonts w:hint="eastAsia" w:ascii="Times New Roman"/>
        </w:rPr>
        <w:t>的技术要求、统计范围和计算方法、减污降碳管理与措施。</w:t>
      </w:r>
    </w:p>
    <w:p w14:paraId="5D6D8D45">
      <w:pPr>
        <w:pStyle w:val="25"/>
        <w:rPr>
          <w:rFonts w:ascii="Times New Roman"/>
        </w:rPr>
      </w:pPr>
      <w:r>
        <w:rPr>
          <w:rFonts w:hint="eastAsia" w:ascii="Times New Roman"/>
        </w:rPr>
        <w:t>本文件适用于煤制甲醇、煤制聚烯烃、煤制乙二醇、煤制天然气、采用费托合成工艺的煤间接液化制油企业生产过程</w:t>
      </w:r>
      <w:r>
        <w:rPr>
          <w:rFonts w:hint="eastAsia"/>
        </w:rPr>
        <w:t>污染治理措施碳排放量的</w:t>
      </w:r>
      <w:r>
        <w:rPr>
          <w:rFonts w:hint="eastAsia" w:ascii="Times New Roman"/>
        </w:rPr>
        <w:t>计算、考核，以及对上述行业新建或改（扩）建项目的</w:t>
      </w:r>
      <w:r>
        <w:rPr>
          <w:rFonts w:hint="eastAsia"/>
        </w:rPr>
        <w:t>污染治理措施</w:t>
      </w:r>
      <w:r>
        <w:rPr>
          <w:rFonts w:hint="eastAsia" w:ascii="Times New Roman"/>
        </w:rPr>
        <w:t>碳排放控制。</w:t>
      </w:r>
    </w:p>
    <w:p w14:paraId="584CD8CF">
      <w:pPr>
        <w:pStyle w:val="131"/>
        <w:numPr>
          <w:ilvl w:val="0"/>
          <w:numId w:val="23"/>
        </w:numPr>
        <w:spacing w:before="312" w:after="312"/>
        <w:ind w:left="0" w:firstLine="0"/>
        <w:outlineLvl w:val="0"/>
      </w:pPr>
      <w:bookmarkStart w:id="22" w:name="_Toc436313696"/>
      <w:bookmarkStart w:id="23" w:name="_Toc436316673"/>
      <w:bookmarkStart w:id="24" w:name="_Toc436314072"/>
      <w:bookmarkStart w:id="25" w:name="_Toc436382579"/>
      <w:bookmarkStart w:id="26" w:name="_Toc436313976"/>
      <w:bookmarkStart w:id="27" w:name="_Toc436313841"/>
      <w:bookmarkStart w:id="28" w:name="_Toc121175261"/>
      <w:bookmarkStart w:id="29" w:name="_Toc436382414"/>
      <w:bookmarkStart w:id="30" w:name="_Toc436313956"/>
      <w:bookmarkStart w:id="31" w:name="_Toc436315522"/>
      <w:bookmarkStart w:id="32" w:name="_Toc436314001"/>
      <w:r>
        <w:rPr>
          <w:rFonts w:hint="eastAsia"/>
        </w:rPr>
        <w:t>规范性引用文件</w:t>
      </w:r>
      <w:bookmarkEnd w:id="22"/>
      <w:bookmarkEnd w:id="23"/>
      <w:bookmarkEnd w:id="24"/>
      <w:bookmarkEnd w:id="25"/>
      <w:bookmarkEnd w:id="26"/>
      <w:bookmarkEnd w:id="27"/>
      <w:bookmarkEnd w:id="28"/>
      <w:bookmarkEnd w:id="29"/>
      <w:bookmarkEnd w:id="30"/>
      <w:bookmarkEnd w:id="31"/>
      <w:bookmarkEnd w:id="32"/>
    </w:p>
    <w:p w14:paraId="59899E5D">
      <w:pPr>
        <w:pStyle w:val="25"/>
        <w:rPr>
          <w:rFonts w:ascii="Times New Roman"/>
        </w:rPr>
      </w:pPr>
      <w:bookmarkStart w:id="33" w:name="_Toc245605171"/>
      <w:r>
        <w:rPr>
          <w:rFonts w:hint="eastAsia"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DB5C7D2">
      <w:pPr>
        <w:pStyle w:val="25"/>
        <w:rPr>
          <w:rFonts w:hAnsi="宋体"/>
        </w:rPr>
      </w:pPr>
      <w:r>
        <w:rPr>
          <w:rFonts w:hint="eastAsia"/>
        </w:rPr>
        <w:t>GB/T31428  煤化工术语</w:t>
      </w:r>
    </w:p>
    <w:p w14:paraId="37D0D683">
      <w:pPr>
        <w:pStyle w:val="25"/>
        <w:rPr>
          <w:rFonts w:hAnsi="宋体"/>
        </w:rPr>
      </w:pPr>
      <w:r>
        <w:rPr>
          <w:rFonts w:hint="eastAsia"/>
        </w:rPr>
        <w:t>GB/T42866  煤化工废水处理与回用技术导则</w:t>
      </w:r>
    </w:p>
    <w:p w14:paraId="6A8465F1">
      <w:pPr>
        <w:pStyle w:val="25"/>
        <w:rPr>
          <w:rFonts w:hAnsi="宋体"/>
        </w:rPr>
      </w:pPr>
      <w:r>
        <w:rPr>
          <w:rFonts w:hint="eastAsia" w:hAnsi="宋体"/>
        </w:rPr>
        <w:t>GB37822</w:t>
      </w:r>
      <w:r>
        <w:rPr>
          <w:rFonts w:hAnsi="宋体"/>
        </w:rPr>
        <w:t xml:space="preserve">  </w:t>
      </w:r>
      <w:r>
        <w:rPr>
          <w:rFonts w:hint="eastAsia" w:hAnsi="宋体"/>
        </w:rPr>
        <w:t>挥发性有机物无组织排放控制标准</w:t>
      </w:r>
    </w:p>
    <w:p w14:paraId="15AFA1E0">
      <w:pPr>
        <w:pStyle w:val="25"/>
        <w:rPr>
          <w:rFonts w:hAnsi="宋体"/>
        </w:rPr>
      </w:pPr>
      <w:r>
        <w:rPr>
          <w:rFonts w:hAnsi="宋体"/>
        </w:rPr>
        <w:t xml:space="preserve">T/CCECTA 0104  </w:t>
      </w:r>
      <w:r>
        <w:rPr>
          <w:rFonts w:hint="eastAsia" w:hAnsi="宋体"/>
        </w:rPr>
        <w:t>现代煤化工行业碳排放基准</w:t>
      </w:r>
    </w:p>
    <w:p w14:paraId="51861FD2">
      <w:pPr>
        <w:pStyle w:val="25"/>
        <w:rPr>
          <w:rFonts w:hAnsi="宋体"/>
        </w:rPr>
      </w:pPr>
      <w:r>
        <w:rPr>
          <w:rFonts w:hint="eastAsia" w:hAnsi="宋体"/>
        </w:rPr>
        <w:t>工业企业污染治理设施污染物去除协同控制温室气体核算技术指南（试行）（环办科技〔2017〕73号）</w:t>
      </w:r>
    </w:p>
    <w:bookmarkEnd w:id="33"/>
    <w:p w14:paraId="0E043A6F">
      <w:pPr>
        <w:pStyle w:val="131"/>
        <w:numPr>
          <w:ilvl w:val="0"/>
          <w:numId w:val="23"/>
        </w:numPr>
        <w:spacing w:before="312" w:after="312"/>
        <w:ind w:left="0" w:firstLine="0"/>
        <w:outlineLvl w:val="0"/>
      </w:pPr>
      <w:bookmarkStart w:id="34" w:name="_Toc121175262"/>
      <w:bookmarkStart w:id="35" w:name="_Toc394698313"/>
      <w:bookmarkStart w:id="36" w:name="_Toc256861077"/>
      <w:bookmarkStart w:id="37" w:name="_Toc245605181"/>
      <w:r>
        <w:rPr>
          <w:rFonts w:hint="eastAsia"/>
        </w:rPr>
        <w:t>术语和定义</w:t>
      </w:r>
      <w:bookmarkEnd w:id="34"/>
    </w:p>
    <w:p w14:paraId="6178FCEE">
      <w:pPr>
        <w:pStyle w:val="25"/>
        <w:widowControl w:val="0"/>
      </w:pPr>
      <w:r>
        <w:t>T/CCECTA 0104界定的以及</w:t>
      </w:r>
      <w:r>
        <w:rPr>
          <w:rFonts w:hint="eastAsia"/>
        </w:rPr>
        <w:t>下列术语和定义适用于本文件。</w:t>
      </w:r>
    </w:p>
    <w:p w14:paraId="029DA5D8">
      <w:pPr>
        <w:pStyle w:val="131"/>
        <w:numPr>
          <w:ilvl w:val="1"/>
          <w:numId w:val="23"/>
        </w:numPr>
        <w:spacing w:beforeLines="50" w:afterLines="50"/>
        <w:ind w:left="530" w:hanging="530"/>
      </w:pPr>
      <w:r>
        <w:rPr>
          <w:rFonts w:hint="eastAsia"/>
          <w:szCs w:val="52"/>
        </w:rPr>
        <w:t xml:space="preserve">污染治理措施 </w:t>
      </w:r>
      <w:r>
        <w:rPr>
          <w:szCs w:val="52"/>
        </w:rPr>
        <w:t>pollution control measure</w:t>
      </w:r>
    </w:p>
    <w:p w14:paraId="55C86341">
      <w:pPr>
        <w:pStyle w:val="25"/>
      </w:pPr>
      <w:r>
        <w:rPr>
          <w:rFonts w:hint="eastAsia"/>
        </w:rPr>
        <w:t>在污染物产生后，为了消除或者降低对环境的影响而采用的处理措施。</w:t>
      </w:r>
    </w:p>
    <w:p w14:paraId="003B9BB1">
      <w:pPr>
        <w:pStyle w:val="131"/>
        <w:numPr>
          <w:ilvl w:val="1"/>
          <w:numId w:val="23"/>
        </w:numPr>
        <w:spacing w:beforeLines="50" w:afterLines="50"/>
        <w:ind w:left="530" w:hanging="530"/>
      </w:pPr>
      <w:r>
        <w:rPr>
          <w:rFonts w:hint="eastAsia"/>
          <w:szCs w:val="52"/>
        </w:rPr>
        <w:t>非甲烷总烃 n</w:t>
      </w:r>
      <w:r>
        <w:rPr>
          <w:szCs w:val="52"/>
        </w:rPr>
        <w:t>on</w:t>
      </w:r>
      <w:r>
        <w:rPr>
          <w:rFonts w:hint="eastAsia"/>
          <w:szCs w:val="52"/>
        </w:rPr>
        <w:t>-</w:t>
      </w:r>
      <w:r>
        <w:rPr>
          <w:szCs w:val="52"/>
        </w:rPr>
        <w:t>methane hydrocarbons (NMHC)</w:t>
      </w:r>
    </w:p>
    <w:p w14:paraId="21F0D894">
      <w:pPr>
        <w:pStyle w:val="25"/>
      </w:pPr>
      <w:r>
        <w:rPr>
          <w:rFonts w:hint="eastAsia"/>
        </w:rPr>
        <w:t>采用规定的监测方法，氢火焰离子化检测器有响应的除甲烷外的气态有机化合物的总和，以碳的质量浓度计。</w:t>
      </w:r>
    </w:p>
    <w:p w14:paraId="6B9F72A3">
      <w:pPr>
        <w:pStyle w:val="25"/>
      </w:pPr>
      <w:r>
        <w:rPr>
          <w:rFonts w:hint="eastAsia"/>
        </w:rPr>
        <w:t>[来源：GB37822-2019，定义3.3]</w:t>
      </w:r>
    </w:p>
    <w:p w14:paraId="08617FCF">
      <w:pPr>
        <w:pStyle w:val="131"/>
        <w:numPr>
          <w:ilvl w:val="1"/>
          <w:numId w:val="23"/>
        </w:numPr>
        <w:spacing w:beforeLines="50" w:afterLines="50"/>
        <w:ind w:left="530" w:hanging="530"/>
      </w:pPr>
      <w:r>
        <w:rPr>
          <w:rFonts w:hint="eastAsia"/>
          <w:szCs w:val="52"/>
        </w:rPr>
        <w:t xml:space="preserve">低温甲醇洗 </w:t>
      </w:r>
      <w:r>
        <w:rPr>
          <w:szCs w:val="52"/>
        </w:rPr>
        <w:t>rectisol</w:t>
      </w:r>
      <w:r>
        <w:rPr>
          <w:rFonts w:hint="eastAsia"/>
          <w:szCs w:val="52"/>
        </w:rPr>
        <w:t xml:space="preserve"> process</w:t>
      </w:r>
    </w:p>
    <w:p w14:paraId="2251FD85">
      <w:pPr>
        <w:pStyle w:val="25"/>
      </w:pPr>
      <w:r>
        <w:rPr>
          <w:rFonts w:hint="eastAsia"/>
        </w:rPr>
        <w:t>采用甲醇作为吸收溶剂，利用甲醇在低温下对酸性气体溶解度比较大的特性，脱除原料气中的酸性气体，主要是CO</w:t>
      </w:r>
      <w:r>
        <w:rPr>
          <w:vertAlign w:val="subscript"/>
        </w:rPr>
        <w:t>2</w:t>
      </w:r>
      <w:r>
        <w:rPr>
          <w:rFonts w:hint="eastAsia"/>
        </w:rPr>
        <w:t>和H</w:t>
      </w:r>
      <w:r>
        <w:rPr>
          <w:vertAlign w:val="subscript"/>
        </w:rPr>
        <w:t>2</w:t>
      </w:r>
      <w:r>
        <w:rPr>
          <w:rFonts w:hint="eastAsia"/>
        </w:rPr>
        <w:t>S。</w:t>
      </w:r>
    </w:p>
    <w:p w14:paraId="40626BAB">
      <w:pPr>
        <w:pStyle w:val="25"/>
      </w:pPr>
      <w:r>
        <w:rPr>
          <w:rFonts w:hint="eastAsia"/>
        </w:rPr>
        <w:t>[来源：GB/T31428-2021，定义5.18]</w:t>
      </w:r>
    </w:p>
    <w:p w14:paraId="25204EBD">
      <w:pPr>
        <w:pStyle w:val="131"/>
        <w:numPr>
          <w:ilvl w:val="1"/>
          <w:numId w:val="23"/>
        </w:numPr>
        <w:spacing w:beforeLines="50" w:afterLines="50"/>
        <w:ind w:left="530" w:hanging="530"/>
      </w:pPr>
      <w:r>
        <w:rPr>
          <w:rFonts w:hint="eastAsia"/>
          <w:szCs w:val="52"/>
        </w:rPr>
        <w:t xml:space="preserve">浓盐水 </w:t>
      </w:r>
      <w:r>
        <w:rPr>
          <w:szCs w:val="52"/>
        </w:rPr>
        <w:t>brine</w:t>
      </w:r>
    </w:p>
    <w:p w14:paraId="0447FFAE">
      <w:pPr>
        <w:pStyle w:val="25"/>
      </w:pPr>
      <w:r>
        <w:rPr>
          <w:rFonts w:hint="eastAsia"/>
        </w:rPr>
        <w:t>现代煤化工行业经纳滤、反渗透、离子交换等装置浓缩后溶解性总固体（TDS）高于6000mg/L的水，生化处理的技术难度较大，通常送至</w:t>
      </w:r>
      <w:r>
        <w:rPr>
          <w:rFonts w:hint="eastAsia"/>
          <w:szCs w:val="52"/>
        </w:rPr>
        <w:t>浓盐水处理系统</w:t>
      </w:r>
      <w:r>
        <w:rPr>
          <w:rFonts w:hint="eastAsia"/>
        </w:rPr>
        <w:t>处理。</w:t>
      </w:r>
    </w:p>
    <w:p w14:paraId="57D35C55">
      <w:pPr>
        <w:pStyle w:val="131"/>
        <w:numPr>
          <w:ilvl w:val="1"/>
          <w:numId w:val="23"/>
        </w:numPr>
        <w:spacing w:beforeLines="50" w:afterLines="50"/>
        <w:ind w:left="530" w:hanging="530"/>
      </w:pPr>
      <w:r>
        <w:rPr>
          <w:rFonts w:hint="eastAsia"/>
          <w:szCs w:val="52"/>
        </w:rPr>
        <w:t>浓盐水处理系统 brine treatment system</w:t>
      </w:r>
    </w:p>
    <w:p w14:paraId="75852D39">
      <w:pPr>
        <w:pStyle w:val="25"/>
      </w:pPr>
      <w:r>
        <w:rPr>
          <w:rFonts w:hint="eastAsia"/>
        </w:rPr>
        <w:t>包括浓盐水预处理、膜浓缩、蒸发结晶、结晶盐干燥及母液干化等单元。</w:t>
      </w:r>
    </w:p>
    <w:p w14:paraId="4CFB5FC4">
      <w:pPr>
        <w:pStyle w:val="25"/>
      </w:pPr>
      <w:r>
        <w:rPr>
          <w:rFonts w:hint="eastAsia"/>
        </w:rPr>
        <w:t>[来源：GB/T42866-2023，定义6.2.4.2，有改动]</w:t>
      </w:r>
    </w:p>
    <w:bookmarkEnd w:id="35"/>
    <w:bookmarkEnd w:id="36"/>
    <w:bookmarkEnd w:id="37"/>
    <w:p w14:paraId="02A32005">
      <w:pPr>
        <w:pStyle w:val="131"/>
        <w:numPr>
          <w:ilvl w:val="0"/>
          <w:numId w:val="23"/>
        </w:numPr>
        <w:spacing w:before="312" w:after="312"/>
        <w:ind w:left="0" w:firstLine="0"/>
        <w:outlineLvl w:val="0"/>
      </w:pPr>
      <w:bookmarkStart w:id="38" w:name="_Toc114238037"/>
      <w:bookmarkEnd w:id="38"/>
      <w:bookmarkStart w:id="39" w:name="_Toc109408565"/>
      <w:bookmarkEnd w:id="39"/>
      <w:bookmarkStart w:id="40" w:name="_Toc109661128"/>
      <w:bookmarkEnd w:id="40"/>
      <w:bookmarkStart w:id="41" w:name="_Toc105516909"/>
      <w:bookmarkEnd w:id="41"/>
      <w:bookmarkStart w:id="42" w:name="_Toc121175263"/>
      <w:bookmarkStart w:id="43" w:name="_Toc436313844"/>
      <w:bookmarkStart w:id="44" w:name="_Toc436313959"/>
      <w:bookmarkStart w:id="45" w:name="_Toc436313732"/>
      <w:bookmarkStart w:id="46" w:name="_Toc436382582"/>
      <w:bookmarkStart w:id="47" w:name="_Toc256861080"/>
      <w:bookmarkStart w:id="48" w:name="_Toc436314075"/>
      <w:bookmarkStart w:id="49" w:name="_Toc436313979"/>
      <w:bookmarkStart w:id="50" w:name="_Toc436316676"/>
      <w:bookmarkStart w:id="51" w:name="_Toc436314004"/>
      <w:bookmarkStart w:id="52" w:name="_Toc430953516"/>
      <w:bookmarkStart w:id="53" w:name="_Toc394698316"/>
      <w:bookmarkStart w:id="54" w:name="_Toc436382417"/>
      <w:bookmarkStart w:id="55" w:name="_Toc436315525"/>
      <w:r>
        <w:rPr>
          <w:rFonts w:hint="eastAsia"/>
        </w:rPr>
        <w:t>技术要求</w:t>
      </w:r>
      <w:bookmarkEnd w:id="42"/>
    </w:p>
    <w:p w14:paraId="590C7504">
      <w:pPr>
        <w:pStyle w:val="131"/>
        <w:numPr>
          <w:ilvl w:val="1"/>
          <w:numId w:val="23"/>
        </w:numPr>
        <w:spacing w:beforeLines="50" w:afterLines="50"/>
        <w:ind w:left="530" w:hanging="530"/>
      </w:pPr>
      <w:r>
        <w:rPr>
          <w:rFonts w:hint="eastAsia"/>
        </w:rPr>
        <w:t>本文件给出了三类典型现代煤化工行业污染治理措施的碳排放水平基准</w:t>
      </w:r>
      <w:r>
        <w:t>。</w:t>
      </w:r>
    </w:p>
    <w:p w14:paraId="1180A30E">
      <w:pPr>
        <w:pStyle w:val="25"/>
      </w:pPr>
      <w:r>
        <w:rPr>
          <w:rFonts w:hint="eastAsia"/>
        </w:rPr>
        <w:t>不同煤气化类型煤制合成气工序单位产品（有效合成气，</w:t>
      </w:r>
      <w:r>
        <w:rPr>
          <w:szCs w:val="21"/>
        </w:rPr>
        <w:t>CO+H</w:t>
      </w:r>
      <w:r>
        <w:rPr>
          <w:szCs w:val="21"/>
          <w:vertAlign w:val="subscript"/>
        </w:rPr>
        <w:t>2</w:t>
      </w:r>
      <w:r>
        <w:rPr>
          <w:rFonts w:hint="eastAsia"/>
        </w:rPr>
        <w:t>）低温甲醇洗直接碳排放水平基准；</w:t>
      </w:r>
    </w:p>
    <w:p w14:paraId="7E861F0C">
      <w:pPr>
        <w:pStyle w:val="25"/>
      </w:pPr>
      <w:r>
        <w:rPr>
          <w:rFonts w:hint="eastAsia"/>
        </w:rPr>
        <w:t>低温甲醇洗尾气单位非甲烷总烃去除量碳排放水平基准；</w:t>
      </w:r>
    </w:p>
    <w:p w14:paraId="47B9B493">
      <w:pPr>
        <w:pStyle w:val="25"/>
      </w:pPr>
      <w:r>
        <w:rPr>
          <w:rFonts w:hint="eastAsia"/>
        </w:rPr>
        <w:t>浓盐水处理系统单位浓盐水处理量碳排放水平基准。</w:t>
      </w:r>
    </w:p>
    <w:p w14:paraId="404FBBCC">
      <w:pPr>
        <w:pStyle w:val="131"/>
        <w:numPr>
          <w:ilvl w:val="1"/>
          <w:numId w:val="23"/>
        </w:numPr>
        <w:spacing w:beforeLines="50" w:afterLines="50"/>
        <w:ind w:left="530" w:hanging="530"/>
      </w:pPr>
      <w:r>
        <w:rPr>
          <w:rFonts w:hint="eastAsia"/>
        </w:rPr>
        <w:t>不同煤气化类型煤制合成气工序单位产品直接碳排放水平基准</w:t>
      </w:r>
    </w:p>
    <w:p w14:paraId="0AC698C4">
      <w:pPr>
        <w:pStyle w:val="25"/>
      </w:pPr>
      <w:r>
        <w:rPr>
          <w:rFonts w:hint="eastAsia"/>
        </w:rPr>
        <w:t>不同煤气化类型煤制合成气工序单位产品（有效合成气，</w:t>
      </w:r>
      <w:r>
        <w:rPr>
          <w:szCs w:val="21"/>
        </w:rPr>
        <w:t>CO+H</w:t>
      </w:r>
      <w:r>
        <w:rPr>
          <w:szCs w:val="21"/>
          <w:vertAlign w:val="subscript"/>
        </w:rPr>
        <w:t>2</w:t>
      </w:r>
      <w:r>
        <w:rPr>
          <w:rFonts w:hint="eastAsia"/>
        </w:rPr>
        <w:t>）低温甲醇洗直接碳排放水平基准见表1。</w:t>
      </w:r>
    </w:p>
    <w:p w14:paraId="2982F158">
      <w:pPr>
        <w:pStyle w:val="175"/>
        <w:spacing w:before="156" w:line="240" w:lineRule="auto"/>
        <w:rPr>
          <w:rFonts w:ascii="黑体" w:hAnsi="黑体" w:eastAsia="黑体"/>
          <w:b w:val="0"/>
          <w:bCs/>
        </w:rPr>
      </w:pPr>
      <w:r>
        <w:rPr>
          <w:rFonts w:ascii="黑体" w:hAnsi="黑体" w:eastAsia="黑体"/>
          <w:b w:val="0"/>
          <w:bCs/>
        </w:rPr>
        <w:t xml:space="preserve">表1  </w:t>
      </w:r>
      <w:r>
        <w:rPr>
          <w:rFonts w:hint="eastAsia"/>
        </w:rPr>
        <w:t>不同煤气化类型煤制合成气工序单位产品（有效合成气，</w:t>
      </w:r>
      <w:r>
        <w:rPr>
          <w:szCs w:val="21"/>
        </w:rPr>
        <w:t>CO+H</w:t>
      </w:r>
      <w:r>
        <w:rPr>
          <w:szCs w:val="21"/>
          <w:vertAlign w:val="subscript"/>
        </w:rPr>
        <w:t>2</w:t>
      </w:r>
      <w:r>
        <w:rPr>
          <w:rFonts w:hint="eastAsia"/>
        </w:rPr>
        <w:t>）</w:t>
      </w:r>
      <w:r>
        <w:rPr>
          <w:rFonts w:hint="eastAsia" w:ascii="黑体" w:hAnsi="黑体" w:eastAsia="黑体"/>
          <w:b w:val="0"/>
          <w:bCs/>
        </w:rPr>
        <w:t>低温甲醇洗直接碳排放水平基准</w:t>
      </w:r>
    </w:p>
    <w:tbl>
      <w:tblPr>
        <w:tblStyle w:val="35"/>
        <w:tblW w:w="9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1"/>
        <w:gridCol w:w="1701"/>
        <w:gridCol w:w="1134"/>
        <w:gridCol w:w="2312"/>
        <w:gridCol w:w="983"/>
        <w:gridCol w:w="984"/>
      </w:tblGrid>
      <w:tr w14:paraId="49657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2211" w:type="dxa"/>
            <w:vMerge w:val="restart"/>
            <w:vAlign w:val="center"/>
          </w:tcPr>
          <w:p w14:paraId="5C22298E">
            <w:pPr>
              <w:autoSpaceDE w:val="0"/>
              <w:autoSpaceDN w:val="0"/>
              <w:adjustRightInd w:val="0"/>
              <w:jc w:val="center"/>
              <w:rPr>
                <w:color w:val="000000"/>
                <w:kern w:val="0"/>
                <w:sz w:val="18"/>
                <w:szCs w:val="18"/>
              </w:rPr>
            </w:pPr>
            <w:r>
              <w:rPr>
                <w:rFonts w:hint="eastAsia"/>
                <w:color w:val="000000"/>
                <w:kern w:val="0"/>
                <w:sz w:val="18"/>
                <w:szCs w:val="18"/>
              </w:rPr>
              <w:t>类型名称</w:t>
            </w:r>
          </w:p>
        </w:tc>
        <w:tc>
          <w:tcPr>
            <w:tcW w:w="1701" w:type="dxa"/>
            <w:vMerge w:val="restart"/>
            <w:vAlign w:val="center"/>
          </w:tcPr>
          <w:p w14:paraId="59C61580">
            <w:pPr>
              <w:autoSpaceDE w:val="0"/>
              <w:autoSpaceDN w:val="0"/>
              <w:adjustRightInd w:val="0"/>
              <w:jc w:val="center"/>
              <w:rPr>
                <w:color w:val="000000"/>
                <w:kern w:val="0"/>
                <w:sz w:val="18"/>
                <w:szCs w:val="18"/>
              </w:rPr>
            </w:pPr>
            <w:r>
              <w:rPr>
                <w:rFonts w:hint="eastAsia"/>
                <w:color w:val="000000"/>
                <w:kern w:val="0"/>
                <w:sz w:val="18"/>
                <w:szCs w:val="18"/>
              </w:rPr>
              <w:t>名称</w:t>
            </w:r>
          </w:p>
        </w:tc>
        <w:tc>
          <w:tcPr>
            <w:tcW w:w="1134" w:type="dxa"/>
            <w:vMerge w:val="restart"/>
            <w:vAlign w:val="center"/>
          </w:tcPr>
          <w:p w14:paraId="5D250DCE">
            <w:pPr>
              <w:autoSpaceDE w:val="0"/>
              <w:autoSpaceDN w:val="0"/>
              <w:adjustRightInd w:val="0"/>
              <w:jc w:val="center"/>
              <w:rPr>
                <w:color w:val="000000"/>
                <w:kern w:val="0"/>
                <w:sz w:val="18"/>
                <w:szCs w:val="18"/>
              </w:rPr>
            </w:pPr>
            <w:r>
              <w:rPr>
                <w:rFonts w:hint="eastAsia"/>
                <w:color w:val="000000"/>
                <w:kern w:val="0"/>
                <w:sz w:val="18"/>
                <w:szCs w:val="18"/>
              </w:rPr>
              <w:t>对应源项</w:t>
            </w:r>
          </w:p>
        </w:tc>
        <w:tc>
          <w:tcPr>
            <w:tcW w:w="2312" w:type="dxa"/>
            <w:vMerge w:val="restart"/>
            <w:vAlign w:val="center"/>
          </w:tcPr>
          <w:p w14:paraId="0AECC401">
            <w:pPr>
              <w:autoSpaceDE w:val="0"/>
              <w:autoSpaceDN w:val="0"/>
              <w:adjustRightInd w:val="0"/>
              <w:jc w:val="center"/>
              <w:rPr>
                <w:color w:val="000000"/>
                <w:kern w:val="0"/>
                <w:sz w:val="18"/>
                <w:szCs w:val="18"/>
              </w:rPr>
            </w:pPr>
            <w:r>
              <w:rPr>
                <w:rFonts w:hint="eastAsia"/>
                <w:color w:val="000000"/>
                <w:kern w:val="0"/>
                <w:sz w:val="18"/>
                <w:szCs w:val="18"/>
              </w:rPr>
              <w:t>单位</w:t>
            </w:r>
          </w:p>
        </w:tc>
        <w:tc>
          <w:tcPr>
            <w:tcW w:w="1967" w:type="dxa"/>
            <w:gridSpan w:val="2"/>
            <w:vAlign w:val="center"/>
          </w:tcPr>
          <w:p w14:paraId="0E4D3DB2">
            <w:pPr>
              <w:autoSpaceDE w:val="0"/>
              <w:autoSpaceDN w:val="0"/>
              <w:adjustRightInd w:val="0"/>
              <w:jc w:val="center"/>
              <w:rPr>
                <w:color w:val="000000"/>
                <w:kern w:val="0"/>
                <w:sz w:val="18"/>
                <w:szCs w:val="18"/>
              </w:rPr>
            </w:pPr>
            <w:r>
              <w:rPr>
                <w:rFonts w:hint="eastAsia"/>
                <w:color w:val="000000"/>
                <w:kern w:val="0"/>
                <w:sz w:val="18"/>
                <w:szCs w:val="18"/>
              </w:rPr>
              <w:t>基准</w:t>
            </w:r>
          </w:p>
        </w:tc>
      </w:tr>
      <w:tr w14:paraId="0C73B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2211" w:type="dxa"/>
            <w:vMerge w:val="continue"/>
            <w:vAlign w:val="center"/>
          </w:tcPr>
          <w:p w14:paraId="200466E9">
            <w:pPr>
              <w:autoSpaceDE w:val="0"/>
              <w:autoSpaceDN w:val="0"/>
              <w:adjustRightInd w:val="0"/>
              <w:jc w:val="center"/>
              <w:rPr>
                <w:color w:val="000000"/>
                <w:kern w:val="0"/>
                <w:sz w:val="18"/>
                <w:szCs w:val="18"/>
              </w:rPr>
            </w:pPr>
          </w:p>
        </w:tc>
        <w:tc>
          <w:tcPr>
            <w:tcW w:w="1701" w:type="dxa"/>
            <w:vMerge w:val="continue"/>
            <w:vAlign w:val="center"/>
          </w:tcPr>
          <w:p w14:paraId="08415A63">
            <w:pPr>
              <w:autoSpaceDE w:val="0"/>
              <w:autoSpaceDN w:val="0"/>
              <w:adjustRightInd w:val="0"/>
              <w:jc w:val="center"/>
              <w:rPr>
                <w:color w:val="000000"/>
                <w:kern w:val="0"/>
                <w:sz w:val="18"/>
                <w:szCs w:val="18"/>
              </w:rPr>
            </w:pPr>
          </w:p>
        </w:tc>
        <w:tc>
          <w:tcPr>
            <w:tcW w:w="1134" w:type="dxa"/>
            <w:vMerge w:val="continue"/>
            <w:vAlign w:val="center"/>
          </w:tcPr>
          <w:p w14:paraId="6D1E6DF2">
            <w:pPr>
              <w:autoSpaceDE w:val="0"/>
              <w:autoSpaceDN w:val="0"/>
              <w:adjustRightInd w:val="0"/>
              <w:jc w:val="center"/>
              <w:rPr>
                <w:color w:val="000000"/>
                <w:kern w:val="0"/>
                <w:sz w:val="18"/>
                <w:szCs w:val="18"/>
              </w:rPr>
            </w:pPr>
          </w:p>
        </w:tc>
        <w:tc>
          <w:tcPr>
            <w:tcW w:w="2312" w:type="dxa"/>
            <w:vMerge w:val="continue"/>
            <w:vAlign w:val="center"/>
          </w:tcPr>
          <w:p w14:paraId="3A71B885">
            <w:pPr>
              <w:autoSpaceDE w:val="0"/>
              <w:autoSpaceDN w:val="0"/>
              <w:adjustRightInd w:val="0"/>
              <w:jc w:val="center"/>
              <w:rPr>
                <w:color w:val="000000"/>
                <w:kern w:val="0"/>
                <w:sz w:val="18"/>
                <w:szCs w:val="18"/>
              </w:rPr>
            </w:pPr>
          </w:p>
        </w:tc>
        <w:tc>
          <w:tcPr>
            <w:tcW w:w="983" w:type="dxa"/>
            <w:vAlign w:val="center"/>
          </w:tcPr>
          <w:p w14:paraId="74FDBA2D">
            <w:pPr>
              <w:autoSpaceDE w:val="0"/>
              <w:autoSpaceDN w:val="0"/>
              <w:adjustRightInd w:val="0"/>
              <w:jc w:val="center"/>
              <w:rPr>
                <w:color w:val="000000"/>
                <w:kern w:val="0"/>
                <w:sz w:val="18"/>
                <w:szCs w:val="18"/>
              </w:rPr>
            </w:pPr>
            <w:r>
              <w:rPr>
                <w:rFonts w:hint="eastAsia"/>
                <w:color w:val="000000"/>
                <w:kern w:val="0"/>
                <w:sz w:val="18"/>
                <w:szCs w:val="18"/>
              </w:rPr>
              <w:t>1级</w:t>
            </w:r>
          </w:p>
        </w:tc>
        <w:tc>
          <w:tcPr>
            <w:tcW w:w="984" w:type="dxa"/>
            <w:vAlign w:val="center"/>
          </w:tcPr>
          <w:p w14:paraId="110DE571">
            <w:pPr>
              <w:autoSpaceDE w:val="0"/>
              <w:autoSpaceDN w:val="0"/>
              <w:adjustRightInd w:val="0"/>
              <w:jc w:val="center"/>
              <w:rPr>
                <w:color w:val="000000"/>
                <w:kern w:val="0"/>
                <w:sz w:val="18"/>
                <w:szCs w:val="18"/>
              </w:rPr>
            </w:pPr>
            <w:r>
              <w:rPr>
                <w:rFonts w:hint="eastAsia"/>
                <w:color w:val="000000"/>
                <w:kern w:val="0"/>
                <w:sz w:val="18"/>
                <w:szCs w:val="18"/>
              </w:rPr>
              <w:t>2级</w:t>
            </w:r>
          </w:p>
        </w:tc>
      </w:tr>
      <w:tr w14:paraId="05F11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2211" w:type="dxa"/>
            <w:vAlign w:val="center"/>
          </w:tcPr>
          <w:p w14:paraId="2414B6D1">
            <w:pPr>
              <w:autoSpaceDE w:val="0"/>
              <w:autoSpaceDN w:val="0"/>
              <w:adjustRightInd w:val="0"/>
              <w:jc w:val="center"/>
              <w:rPr>
                <w:color w:val="000000"/>
                <w:kern w:val="0"/>
                <w:sz w:val="18"/>
                <w:szCs w:val="18"/>
              </w:rPr>
            </w:pPr>
            <w:r>
              <w:rPr>
                <w:rFonts w:hint="eastAsia"/>
                <w:color w:val="000000"/>
                <w:kern w:val="0"/>
                <w:sz w:val="18"/>
                <w:szCs w:val="18"/>
              </w:rPr>
              <w:t>水煤浆气化-废锅流程</w:t>
            </w:r>
          </w:p>
        </w:tc>
        <w:tc>
          <w:tcPr>
            <w:tcW w:w="1701" w:type="dxa"/>
            <w:vAlign w:val="center"/>
          </w:tcPr>
          <w:p w14:paraId="7C7238FB">
            <w:pPr>
              <w:autoSpaceDE w:val="0"/>
              <w:autoSpaceDN w:val="0"/>
              <w:adjustRightInd w:val="0"/>
              <w:jc w:val="center"/>
              <w:rPr>
                <w:color w:val="000000"/>
                <w:kern w:val="0"/>
                <w:sz w:val="18"/>
                <w:szCs w:val="18"/>
              </w:rPr>
            </w:pPr>
            <w:r>
              <w:rPr>
                <w:color w:val="000000"/>
                <w:kern w:val="0"/>
                <w:sz w:val="18"/>
                <w:szCs w:val="18"/>
              </w:rPr>
              <w:t>单位产品碳排放量</w:t>
            </w:r>
          </w:p>
        </w:tc>
        <w:tc>
          <w:tcPr>
            <w:tcW w:w="1134" w:type="dxa"/>
            <w:vAlign w:val="center"/>
          </w:tcPr>
          <w:p w14:paraId="30DCF7F0">
            <w:pPr>
              <w:autoSpaceDE w:val="0"/>
              <w:autoSpaceDN w:val="0"/>
              <w:adjustRightInd w:val="0"/>
              <w:jc w:val="center"/>
              <w:rPr>
                <w:color w:val="000000"/>
                <w:kern w:val="0"/>
                <w:sz w:val="18"/>
                <w:szCs w:val="18"/>
              </w:rPr>
            </w:pPr>
            <w:r>
              <w:rPr>
                <w:color w:val="000000"/>
                <w:kern w:val="0"/>
                <w:sz w:val="18"/>
                <w:szCs w:val="18"/>
              </w:rPr>
              <w:t>低温甲醇洗</w:t>
            </w:r>
          </w:p>
        </w:tc>
        <w:tc>
          <w:tcPr>
            <w:tcW w:w="2312" w:type="dxa"/>
            <w:vAlign w:val="center"/>
          </w:tcPr>
          <w:p w14:paraId="11F6A899">
            <w:pPr>
              <w:autoSpaceDE w:val="0"/>
              <w:autoSpaceDN w:val="0"/>
              <w:adjustRightInd w:val="0"/>
              <w:jc w:val="center"/>
              <w:rPr>
                <w:color w:val="000000"/>
                <w:kern w:val="0"/>
                <w:sz w:val="18"/>
                <w:szCs w:val="18"/>
              </w:rPr>
            </w:pPr>
            <w:r>
              <w:rPr>
                <w:sz w:val="18"/>
                <w:szCs w:val="18"/>
              </w:rPr>
              <w:t>tCO</w:t>
            </w:r>
            <w:r>
              <w:rPr>
                <w:sz w:val="18"/>
                <w:szCs w:val="18"/>
                <w:vertAlign w:val="subscript"/>
              </w:rPr>
              <w:t>2</w:t>
            </w:r>
            <w:r>
              <w:rPr>
                <w:sz w:val="18"/>
                <w:szCs w:val="18"/>
              </w:rPr>
              <w:t>/KNm</w:t>
            </w:r>
            <w:r>
              <w:rPr>
                <w:sz w:val="18"/>
                <w:szCs w:val="18"/>
                <w:vertAlign w:val="superscript"/>
              </w:rPr>
              <w:t>3</w:t>
            </w:r>
            <w:r>
              <w:rPr>
                <w:sz w:val="18"/>
                <w:szCs w:val="18"/>
              </w:rPr>
              <w:t>（CO+H</w:t>
            </w:r>
            <w:r>
              <w:rPr>
                <w:sz w:val="18"/>
                <w:szCs w:val="18"/>
                <w:vertAlign w:val="subscript"/>
              </w:rPr>
              <w:t>2</w:t>
            </w:r>
            <w:r>
              <w:rPr>
                <w:sz w:val="18"/>
                <w:szCs w:val="18"/>
              </w:rPr>
              <w:t>）</w:t>
            </w:r>
          </w:p>
        </w:tc>
        <w:tc>
          <w:tcPr>
            <w:tcW w:w="1967" w:type="dxa"/>
            <w:gridSpan w:val="2"/>
            <w:vAlign w:val="center"/>
          </w:tcPr>
          <w:p w14:paraId="55ECF2F8">
            <w:pPr>
              <w:autoSpaceDE w:val="0"/>
              <w:autoSpaceDN w:val="0"/>
              <w:adjustRightInd w:val="0"/>
              <w:jc w:val="center"/>
              <w:rPr>
                <w:color w:val="000000"/>
                <w:kern w:val="0"/>
                <w:sz w:val="18"/>
                <w:szCs w:val="18"/>
              </w:rPr>
            </w:pPr>
            <w:r>
              <w:rPr>
                <w:rFonts w:hint="eastAsia"/>
                <w:color w:val="000000"/>
                <w:kern w:val="0"/>
                <w:sz w:val="18"/>
                <w:szCs w:val="18"/>
              </w:rPr>
              <w:t>0.8</w:t>
            </w:r>
          </w:p>
        </w:tc>
      </w:tr>
      <w:tr w14:paraId="25F4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2211" w:type="dxa"/>
            <w:vAlign w:val="center"/>
          </w:tcPr>
          <w:p w14:paraId="2E478FEE">
            <w:pPr>
              <w:autoSpaceDE w:val="0"/>
              <w:autoSpaceDN w:val="0"/>
              <w:adjustRightInd w:val="0"/>
              <w:jc w:val="center"/>
              <w:rPr>
                <w:color w:val="000000"/>
                <w:kern w:val="0"/>
                <w:sz w:val="18"/>
                <w:szCs w:val="18"/>
              </w:rPr>
            </w:pPr>
            <w:r>
              <w:rPr>
                <w:rFonts w:hint="eastAsia"/>
                <w:color w:val="000000"/>
                <w:kern w:val="0"/>
                <w:sz w:val="18"/>
                <w:szCs w:val="18"/>
              </w:rPr>
              <w:t>水煤浆气化-其他流程</w:t>
            </w:r>
          </w:p>
        </w:tc>
        <w:tc>
          <w:tcPr>
            <w:tcW w:w="1701" w:type="dxa"/>
            <w:vAlign w:val="center"/>
          </w:tcPr>
          <w:p w14:paraId="4B14780D">
            <w:pPr>
              <w:autoSpaceDE w:val="0"/>
              <w:autoSpaceDN w:val="0"/>
              <w:adjustRightInd w:val="0"/>
              <w:jc w:val="center"/>
              <w:rPr>
                <w:color w:val="000000"/>
                <w:kern w:val="0"/>
                <w:sz w:val="18"/>
                <w:szCs w:val="18"/>
              </w:rPr>
            </w:pPr>
            <w:r>
              <w:rPr>
                <w:color w:val="000000"/>
                <w:kern w:val="0"/>
                <w:sz w:val="18"/>
                <w:szCs w:val="18"/>
              </w:rPr>
              <w:t>单位产品碳排放量</w:t>
            </w:r>
          </w:p>
        </w:tc>
        <w:tc>
          <w:tcPr>
            <w:tcW w:w="1134" w:type="dxa"/>
            <w:vAlign w:val="center"/>
          </w:tcPr>
          <w:p w14:paraId="787BC271">
            <w:pPr>
              <w:autoSpaceDE w:val="0"/>
              <w:autoSpaceDN w:val="0"/>
              <w:adjustRightInd w:val="0"/>
              <w:jc w:val="center"/>
              <w:rPr>
                <w:color w:val="000000"/>
                <w:kern w:val="0"/>
                <w:sz w:val="18"/>
                <w:szCs w:val="18"/>
              </w:rPr>
            </w:pPr>
            <w:r>
              <w:rPr>
                <w:color w:val="000000"/>
                <w:kern w:val="0"/>
                <w:sz w:val="18"/>
                <w:szCs w:val="18"/>
              </w:rPr>
              <w:t>低温甲醇洗</w:t>
            </w:r>
          </w:p>
        </w:tc>
        <w:tc>
          <w:tcPr>
            <w:tcW w:w="2312" w:type="dxa"/>
            <w:vAlign w:val="center"/>
          </w:tcPr>
          <w:p w14:paraId="6B3AB3F8">
            <w:pPr>
              <w:autoSpaceDE w:val="0"/>
              <w:autoSpaceDN w:val="0"/>
              <w:adjustRightInd w:val="0"/>
              <w:jc w:val="center"/>
              <w:rPr>
                <w:sz w:val="18"/>
                <w:szCs w:val="18"/>
              </w:rPr>
            </w:pPr>
            <w:r>
              <w:rPr>
                <w:sz w:val="18"/>
                <w:szCs w:val="18"/>
              </w:rPr>
              <w:t>tCO</w:t>
            </w:r>
            <w:r>
              <w:rPr>
                <w:sz w:val="18"/>
                <w:szCs w:val="18"/>
                <w:vertAlign w:val="subscript"/>
              </w:rPr>
              <w:t>2</w:t>
            </w:r>
            <w:r>
              <w:rPr>
                <w:sz w:val="18"/>
                <w:szCs w:val="18"/>
              </w:rPr>
              <w:t>/KNm</w:t>
            </w:r>
            <w:r>
              <w:rPr>
                <w:sz w:val="18"/>
                <w:szCs w:val="18"/>
                <w:vertAlign w:val="superscript"/>
              </w:rPr>
              <w:t>3</w:t>
            </w:r>
            <w:r>
              <w:rPr>
                <w:sz w:val="18"/>
                <w:szCs w:val="18"/>
              </w:rPr>
              <w:t>（CO+H</w:t>
            </w:r>
            <w:r>
              <w:rPr>
                <w:sz w:val="18"/>
                <w:szCs w:val="18"/>
                <w:vertAlign w:val="subscript"/>
              </w:rPr>
              <w:t>2</w:t>
            </w:r>
            <w:r>
              <w:rPr>
                <w:sz w:val="18"/>
                <w:szCs w:val="18"/>
              </w:rPr>
              <w:t>）</w:t>
            </w:r>
          </w:p>
        </w:tc>
        <w:tc>
          <w:tcPr>
            <w:tcW w:w="983" w:type="dxa"/>
            <w:vAlign w:val="center"/>
          </w:tcPr>
          <w:p w14:paraId="65E0E568">
            <w:pPr>
              <w:autoSpaceDE w:val="0"/>
              <w:autoSpaceDN w:val="0"/>
              <w:adjustRightInd w:val="0"/>
              <w:jc w:val="center"/>
              <w:rPr>
                <w:color w:val="000000"/>
                <w:kern w:val="0"/>
                <w:sz w:val="18"/>
                <w:szCs w:val="18"/>
              </w:rPr>
            </w:pPr>
            <w:r>
              <w:rPr>
                <w:rFonts w:hint="eastAsia"/>
                <w:color w:val="000000"/>
                <w:kern w:val="0"/>
                <w:sz w:val="18"/>
                <w:szCs w:val="18"/>
              </w:rPr>
              <w:t>0.8</w:t>
            </w:r>
          </w:p>
        </w:tc>
        <w:tc>
          <w:tcPr>
            <w:tcW w:w="984" w:type="dxa"/>
            <w:vAlign w:val="center"/>
          </w:tcPr>
          <w:p w14:paraId="409DADF4">
            <w:pPr>
              <w:autoSpaceDE w:val="0"/>
              <w:autoSpaceDN w:val="0"/>
              <w:adjustRightInd w:val="0"/>
              <w:jc w:val="center"/>
              <w:rPr>
                <w:color w:val="000000"/>
                <w:kern w:val="0"/>
                <w:sz w:val="18"/>
                <w:szCs w:val="18"/>
              </w:rPr>
            </w:pPr>
            <w:r>
              <w:rPr>
                <w:rFonts w:hint="eastAsia"/>
                <w:color w:val="000000"/>
                <w:kern w:val="0"/>
                <w:sz w:val="18"/>
                <w:szCs w:val="18"/>
              </w:rPr>
              <w:t>1.0</w:t>
            </w:r>
          </w:p>
        </w:tc>
      </w:tr>
      <w:tr w14:paraId="6DF14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2211" w:type="dxa"/>
            <w:vAlign w:val="center"/>
          </w:tcPr>
          <w:p w14:paraId="54BC8C04">
            <w:pPr>
              <w:autoSpaceDE w:val="0"/>
              <w:autoSpaceDN w:val="0"/>
              <w:adjustRightInd w:val="0"/>
              <w:jc w:val="center"/>
              <w:rPr>
                <w:color w:val="000000"/>
                <w:kern w:val="0"/>
                <w:sz w:val="18"/>
                <w:szCs w:val="18"/>
              </w:rPr>
            </w:pPr>
            <w:r>
              <w:rPr>
                <w:rFonts w:hint="eastAsia"/>
                <w:color w:val="000000"/>
                <w:kern w:val="0"/>
                <w:sz w:val="18"/>
                <w:szCs w:val="18"/>
              </w:rPr>
              <w:t>粉煤气化</w:t>
            </w:r>
          </w:p>
        </w:tc>
        <w:tc>
          <w:tcPr>
            <w:tcW w:w="1701" w:type="dxa"/>
            <w:vAlign w:val="center"/>
          </w:tcPr>
          <w:p w14:paraId="746122AC">
            <w:pPr>
              <w:autoSpaceDE w:val="0"/>
              <w:autoSpaceDN w:val="0"/>
              <w:adjustRightInd w:val="0"/>
              <w:jc w:val="center"/>
              <w:rPr>
                <w:color w:val="000000"/>
                <w:kern w:val="0"/>
                <w:sz w:val="18"/>
                <w:szCs w:val="18"/>
              </w:rPr>
            </w:pPr>
            <w:r>
              <w:rPr>
                <w:color w:val="000000"/>
                <w:kern w:val="0"/>
                <w:sz w:val="18"/>
                <w:szCs w:val="18"/>
              </w:rPr>
              <w:t>单位产品碳排放量</w:t>
            </w:r>
          </w:p>
        </w:tc>
        <w:tc>
          <w:tcPr>
            <w:tcW w:w="1134" w:type="dxa"/>
            <w:vAlign w:val="center"/>
          </w:tcPr>
          <w:p w14:paraId="5E1E51D9">
            <w:pPr>
              <w:autoSpaceDE w:val="0"/>
              <w:autoSpaceDN w:val="0"/>
              <w:adjustRightInd w:val="0"/>
              <w:jc w:val="center"/>
              <w:rPr>
                <w:color w:val="000000"/>
                <w:kern w:val="0"/>
                <w:sz w:val="18"/>
                <w:szCs w:val="18"/>
              </w:rPr>
            </w:pPr>
            <w:r>
              <w:rPr>
                <w:color w:val="000000"/>
                <w:kern w:val="0"/>
                <w:sz w:val="18"/>
                <w:szCs w:val="18"/>
              </w:rPr>
              <w:t>低温甲醇洗</w:t>
            </w:r>
          </w:p>
        </w:tc>
        <w:tc>
          <w:tcPr>
            <w:tcW w:w="2312" w:type="dxa"/>
            <w:vAlign w:val="center"/>
          </w:tcPr>
          <w:p w14:paraId="4ABF5B47">
            <w:pPr>
              <w:autoSpaceDE w:val="0"/>
              <w:autoSpaceDN w:val="0"/>
              <w:adjustRightInd w:val="0"/>
              <w:jc w:val="center"/>
              <w:rPr>
                <w:color w:val="000000"/>
                <w:kern w:val="0"/>
                <w:sz w:val="18"/>
                <w:szCs w:val="18"/>
              </w:rPr>
            </w:pPr>
            <w:r>
              <w:rPr>
                <w:sz w:val="18"/>
                <w:szCs w:val="18"/>
              </w:rPr>
              <w:t>tCO</w:t>
            </w:r>
            <w:r>
              <w:rPr>
                <w:sz w:val="18"/>
                <w:szCs w:val="18"/>
                <w:vertAlign w:val="subscript"/>
              </w:rPr>
              <w:t>2</w:t>
            </w:r>
            <w:r>
              <w:rPr>
                <w:sz w:val="18"/>
                <w:szCs w:val="18"/>
              </w:rPr>
              <w:t>/KNm</w:t>
            </w:r>
            <w:r>
              <w:rPr>
                <w:sz w:val="18"/>
                <w:szCs w:val="18"/>
                <w:vertAlign w:val="superscript"/>
              </w:rPr>
              <w:t>3</w:t>
            </w:r>
            <w:r>
              <w:rPr>
                <w:sz w:val="18"/>
                <w:szCs w:val="18"/>
              </w:rPr>
              <w:t>（CO+H</w:t>
            </w:r>
            <w:r>
              <w:rPr>
                <w:sz w:val="18"/>
                <w:szCs w:val="18"/>
                <w:vertAlign w:val="subscript"/>
              </w:rPr>
              <w:t>2</w:t>
            </w:r>
            <w:r>
              <w:rPr>
                <w:sz w:val="18"/>
                <w:szCs w:val="18"/>
              </w:rPr>
              <w:t>）</w:t>
            </w:r>
          </w:p>
        </w:tc>
        <w:tc>
          <w:tcPr>
            <w:tcW w:w="983" w:type="dxa"/>
            <w:vAlign w:val="center"/>
          </w:tcPr>
          <w:p w14:paraId="2EE16454">
            <w:pPr>
              <w:autoSpaceDE w:val="0"/>
              <w:autoSpaceDN w:val="0"/>
              <w:adjustRightInd w:val="0"/>
              <w:jc w:val="center"/>
              <w:rPr>
                <w:color w:val="000000"/>
                <w:kern w:val="0"/>
                <w:sz w:val="18"/>
                <w:szCs w:val="18"/>
              </w:rPr>
            </w:pPr>
            <w:r>
              <w:rPr>
                <w:rFonts w:hint="eastAsia"/>
                <w:color w:val="000000"/>
                <w:kern w:val="0"/>
                <w:sz w:val="18"/>
                <w:szCs w:val="18"/>
              </w:rPr>
              <w:t>1.0</w:t>
            </w:r>
          </w:p>
        </w:tc>
        <w:tc>
          <w:tcPr>
            <w:tcW w:w="984" w:type="dxa"/>
            <w:vAlign w:val="center"/>
          </w:tcPr>
          <w:p w14:paraId="1F751487">
            <w:pPr>
              <w:autoSpaceDE w:val="0"/>
              <w:autoSpaceDN w:val="0"/>
              <w:adjustRightInd w:val="0"/>
              <w:jc w:val="center"/>
              <w:rPr>
                <w:color w:val="000000"/>
                <w:kern w:val="0"/>
                <w:sz w:val="18"/>
                <w:szCs w:val="18"/>
              </w:rPr>
            </w:pPr>
            <w:r>
              <w:rPr>
                <w:rFonts w:hint="eastAsia"/>
                <w:color w:val="000000"/>
                <w:kern w:val="0"/>
                <w:sz w:val="18"/>
                <w:szCs w:val="18"/>
              </w:rPr>
              <w:t>1.1</w:t>
            </w:r>
          </w:p>
        </w:tc>
      </w:tr>
      <w:tr w14:paraId="767C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2211" w:type="dxa"/>
            <w:vAlign w:val="center"/>
          </w:tcPr>
          <w:p w14:paraId="62221FDB">
            <w:pPr>
              <w:autoSpaceDE w:val="0"/>
              <w:autoSpaceDN w:val="0"/>
              <w:adjustRightInd w:val="0"/>
              <w:jc w:val="center"/>
              <w:rPr>
                <w:color w:val="000000"/>
                <w:kern w:val="0"/>
                <w:sz w:val="18"/>
                <w:szCs w:val="18"/>
              </w:rPr>
            </w:pPr>
            <w:r>
              <w:rPr>
                <w:rFonts w:hint="eastAsia"/>
                <w:color w:val="000000"/>
                <w:kern w:val="0"/>
                <w:sz w:val="18"/>
                <w:szCs w:val="18"/>
              </w:rPr>
              <w:t>碎煤加压气化</w:t>
            </w:r>
          </w:p>
        </w:tc>
        <w:tc>
          <w:tcPr>
            <w:tcW w:w="1701" w:type="dxa"/>
            <w:vAlign w:val="center"/>
          </w:tcPr>
          <w:p w14:paraId="0E074A46">
            <w:pPr>
              <w:autoSpaceDE w:val="0"/>
              <w:autoSpaceDN w:val="0"/>
              <w:adjustRightInd w:val="0"/>
              <w:jc w:val="center"/>
              <w:rPr>
                <w:color w:val="000000"/>
                <w:kern w:val="0"/>
                <w:sz w:val="18"/>
                <w:szCs w:val="18"/>
              </w:rPr>
            </w:pPr>
            <w:r>
              <w:rPr>
                <w:color w:val="000000"/>
                <w:kern w:val="0"/>
                <w:sz w:val="18"/>
                <w:szCs w:val="18"/>
              </w:rPr>
              <w:t>单位产品碳排放量</w:t>
            </w:r>
          </w:p>
        </w:tc>
        <w:tc>
          <w:tcPr>
            <w:tcW w:w="1134" w:type="dxa"/>
            <w:vAlign w:val="center"/>
          </w:tcPr>
          <w:p w14:paraId="2B900F4C">
            <w:pPr>
              <w:autoSpaceDE w:val="0"/>
              <w:autoSpaceDN w:val="0"/>
              <w:adjustRightInd w:val="0"/>
              <w:jc w:val="center"/>
              <w:rPr>
                <w:color w:val="000000"/>
                <w:kern w:val="0"/>
                <w:sz w:val="18"/>
                <w:szCs w:val="18"/>
              </w:rPr>
            </w:pPr>
            <w:r>
              <w:rPr>
                <w:color w:val="000000"/>
                <w:kern w:val="0"/>
                <w:sz w:val="18"/>
                <w:szCs w:val="18"/>
              </w:rPr>
              <w:t>低温甲醇洗</w:t>
            </w:r>
          </w:p>
        </w:tc>
        <w:tc>
          <w:tcPr>
            <w:tcW w:w="2312" w:type="dxa"/>
            <w:vAlign w:val="center"/>
          </w:tcPr>
          <w:p w14:paraId="52C44AA1">
            <w:pPr>
              <w:autoSpaceDE w:val="0"/>
              <w:autoSpaceDN w:val="0"/>
              <w:adjustRightInd w:val="0"/>
              <w:jc w:val="center"/>
              <w:rPr>
                <w:color w:val="000000"/>
                <w:kern w:val="0"/>
                <w:sz w:val="18"/>
                <w:szCs w:val="18"/>
              </w:rPr>
            </w:pPr>
            <w:r>
              <w:rPr>
                <w:sz w:val="18"/>
                <w:szCs w:val="18"/>
              </w:rPr>
              <w:t>tCO</w:t>
            </w:r>
            <w:r>
              <w:rPr>
                <w:sz w:val="18"/>
                <w:szCs w:val="18"/>
                <w:vertAlign w:val="subscript"/>
              </w:rPr>
              <w:t>2</w:t>
            </w:r>
            <w:r>
              <w:rPr>
                <w:sz w:val="18"/>
                <w:szCs w:val="18"/>
              </w:rPr>
              <w:t>/KNm</w:t>
            </w:r>
            <w:r>
              <w:rPr>
                <w:sz w:val="18"/>
                <w:szCs w:val="18"/>
                <w:vertAlign w:val="superscript"/>
              </w:rPr>
              <w:t>3</w:t>
            </w:r>
            <w:r>
              <w:rPr>
                <w:sz w:val="18"/>
                <w:szCs w:val="18"/>
              </w:rPr>
              <w:t>（CO+H</w:t>
            </w:r>
            <w:r>
              <w:rPr>
                <w:sz w:val="18"/>
                <w:szCs w:val="18"/>
                <w:vertAlign w:val="subscript"/>
              </w:rPr>
              <w:t>2</w:t>
            </w:r>
            <w:r>
              <w:rPr>
                <w:sz w:val="18"/>
                <w:szCs w:val="18"/>
              </w:rPr>
              <w:t>）</w:t>
            </w:r>
          </w:p>
        </w:tc>
        <w:tc>
          <w:tcPr>
            <w:tcW w:w="983" w:type="dxa"/>
            <w:vAlign w:val="center"/>
          </w:tcPr>
          <w:p w14:paraId="144C1799">
            <w:pPr>
              <w:autoSpaceDE w:val="0"/>
              <w:autoSpaceDN w:val="0"/>
              <w:adjustRightInd w:val="0"/>
              <w:jc w:val="center"/>
              <w:rPr>
                <w:color w:val="000000"/>
                <w:kern w:val="0"/>
                <w:sz w:val="18"/>
                <w:szCs w:val="18"/>
              </w:rPr>
            </w:pPr>
            <w:r>
              <w:rPr>
                <w:rFonts w:hint="eastAsia"/>
                <w:color w:val="000000"/>
                <w:kern w:val="0"/>
                <w:sz w:val="18"/>
                <w:szCs w:val="18"/>
              </w:rPr>
              <w:t>1.4</w:t>
            </w:r>
          </w:p>
        </w:tc>
        <w:tc>
          <w:tcPr>
            <w:tcW w:w="984" w:type="dxa"/>
            <w:vAlign w:val="center"/>
          </w:tcPr>
          <w:p w14:paraId="091B0C60">
            <w:pPr>
              <w:autoSpaceDE w:val="0"/>
              <w:autoSpaceDN w:val="0"/>
              <w:adjustRightInd w:val="0"/>
              <w:jc w:val="center"/>
              <w:rPr>
                <w:color w:val="000000"/>
                <w:kern w:val="0"/>
                <w:sz w:val="18"/>
                <w:szCs w:val="18"/>
              </w:rPr>
            </w:pPr>
            <w:r>
              <w:rPr>
                <w:rFonts w:hint="eastAsia"/>
                <w:color w:val="000000"/>
                <w:kern w:val="0"/>
                <w:sz w:val="18"/>
                <w:szCs w:val="18"/>
              </w:rPr>
              <w:t>1.5</w:t>
            </w:r>
          </w:p>
        </w:tc>
      </w:tr>
    </w:tbl>
    <w:p w14:paraId="211941D7">
      <w:pPr>
        <w:pStyle w:val="25"/>
        <w:spacing w:before="156" w:after="156"/>
      </w:pPr>
    </w:p>
    <w:p w14:paraId="374DF1C0">
      <w:pPr>
        <w:pStyle w:val="131"/>
        <w:numPr>
          <w:ilvl w:val="1"/>
          <w:numId w:val="23"/>
        </w:numPr>
        <w:spacing w:beforeLines="50" w:afterLines="50"/>
        <w:ind w:left="530" w:hanging="530"/>
      </w:pPr>
      <w:r>
        <w:rPr>
          <w:rFonts w:hint="eastAsia"/>
        </w:rPr>
        <w:t>低温甲醇洗尾气单位非甲烷总烃去除量碳排放水平基准</w:t>
      </w:r>
    </w:p>
    <w:p w14:paraId="34D29D36">
      <w:pPr>
        <w:pStyle w:val="25"/>
      </w:pPr>
      <w:r>
        <w:rPr>
          <w:rFonts w:hint="eastAsia"/>
        </w:rPr>
        <w:t>低温甲醇洗尾气单位非甲烷总烃去除量碳排放水平基准见表</w:t>
      </w:r>
      <w:r>
        <w:t>2</w:t>
      </w:r>
      <w:r>
        <w:rPr>
          <w:rFonts w:hint="eastAsia"/>
        </w:rPr>
        <w:t>。</w:t>
      </w:r>
    </w:p>
    <w:p w14:paraId="0D1BA180">
      <w:pPr>
        <w:pStyle w:val="175"/>
        <w:spacing w:before="156" w:line="240" w:lineRule="auto"/>
        <w:rPr>
          <w:rFonts w:ascii="黑体" w:hAnsi="黑体" w:eastAsia="黑体"/>
          <w:b w:val="0"/>
          <w:bCs/>
        </w:rPr>
      </w:pPr>
      <w:r>
        <w:rPr>
          <w:rFonts w:ascii="黑体" w:hAnsi="黑体" w:eastAsia="黑体"/>
          <w:b w:val="0"/>
          <w:bCs/>
        </w:rPr>
        <w:t xml:space="preserve">表2  </w:t>
      </w:r>
      <w:r>
        <w:rPr>
          <w:rFonts w:hint="eastAsia" w:ascii="黑体" w:hAnsi="黑体" w:eastAsia="黑体"/>
          <w:b w:val="0"/>
          <w:bCs/>
        </w:rPr>
        <w:t>低温甲醇洗尾气单位非甲烷总烃去除量碳排放水平基准</w:t>
      </w:r>
    </w:p>
    <w:tbl>
      <w:tblPr>
        <w:tblStyle w:val="35"/>
        <w:tblW w:w="9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0"/>
        <w:gridCol w:w="2976"/>
        <w:gridCol w:w="2552"/>
        <w:gridCol w:w="983"/>
        <w:gridCol w:w="984"/>
      </w:tblGrid>
      <w:tr w14:paraId="58ECB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830" w:type="dxa"/>
            <w:vMerge w:val="restart"/>
            <w:vAlign w:val="center"/>
          </w:tcPr>
          <w:p w14:paraId="5CEA70CA">
            <w:pPr>
              <w:autoSpaceDE w:val="0"/>
              <w:autoSpaceDN w:val="0"/>
              <w:adjustRightInd w:val="0"/>
              <w:jc w:val="center"/>
              <w:rPr>
                <w:color w:val="000000"/>
                <w:kern w:val="0"/>
                <w:sz w:val="18"/>
                <w:szCs w:val="18"/>
              </w:rPr>
            </w:pPr>
            <w:r>
              <w:rPr>
                <w:rFonts w:hint="eastAsia"/>
                <w:color w:val="000000"/>
                <w:kern w:val="0"/>
                <w:sz w:val="18"/>
                <w:szCs w:val="18"/>
              </w:rPr>
              <w:t>类型名称</w:t>
            </w:r>
          </w:p>
        </w:tc>
        <w:tc>
          <w:tcPr>
            <w:tcW w:w="2976" w:type="dxa"/>
            <w:vMerge w:val="restart"/>
            <w:vAlign w:val="center"/>
          </w:tcPr>
          <w:p w14:paraId="2BBDCD8C">
            <w:pPr>
              <w:autoSpaceDE w:val="0"/>
              <w:autoSpaceDN w:val="0"/>
              <w:adjustRightInd w:val="0"/>
              <w:jc w:val="center"/>
              <w:rPr>
                <w:color w:val="000000"/>
                <w:kern w:val="0"/>
                <w:sz w:val="18"/>
                <w:szCs w:val="18"/>
              </w:rPr>
            </w:pPr>
            <w:r>
              <w:rPr>
                <w:rFonts w:hint="eastAsia"/>
                <w:color w:val="000000"/>
                <w:kern w:val="0"/>
                <w:sz w:val="18"/>
                <w:szCs w:val="18"/>
              </w:rPr>
              <w:t>名称</w:t>
            </w:r>
          </w:p>
        </w:tc>
        <w:tc>
          <w:tcPr>
            <w:tcW w:w="2552" w:type="dxa"/>
            <w:vMerge w:val="restart"/>
            <w:vAlign w:val="center"/>
          </w:tcPr>
          <w:p w14:paraId="3D09C1F6">
            <w:pPr>
              <w:autoSpaceDE w:val="0"/>
              <w:autoSpaceDN w:val="0"/>
              <w:adjustRightInd w:val="0"/>
              <w:jc w:val="center"/>
              <w:rPr>
                <w:color w:val="000000"/>
                <w:kern w:val="0"/>
                <w:sz w:val="18"/>
                <w:szCs w:val="18"/>
              </w:rPr>
            </w:pPr>
            <w:r>
              <w:rPr>
                <w:rFonts w:hint="eastAsia"/>
                <w:color w:val="000000"/>
                <w:kern w:val="0"/>
                <w:sz w:val="18"/>
                <w:szCs w:val="18"/>
              </w:rPr>
              <w:t>单位</w:t>
            </w:r>
          </w:p>
        </w:tc>
        <w:tc>
          <w:tcPr>
            <w:tcW w:w="1967" w:type="dxa"/>
            <w:gridSpan w:val="2"/>
            <w:vAlign w:val="center"/>
          </w:tcPr>
          <w:p w14:paraId="1B1C3D47">
            <w:pPr>
              <w:autoSpaceDE w:val="0"/>
              <w:autoSpaceDN w:val="0"/>
              <w:adjustRightInd w:val="0"/>
              <w:jc w:val="center"/>
              <w:rPr>
                <w:color w:val="000000"/>
                <w:kern w:val="0"/>
                <w:sz w:val="18"/>
                <w:szCs w:val="18"/>
              </w:rPr>
            </w:pPr>
            <w:r>
              <w:rPr>
                <w:rFonts w:hint="eastAsia"/>
                <w:color w:val="000000"/>
                <w:kern w:val="0"/>
                <w:sz w:val="18"/>
                <w:szCs w:val="18"/>
              </w:rPr>
              <w:t>基准</w:t>
            </w:r>
          </w:p>
        </w:tc>
      </w:tr>
      <w:tr w14:paraId="2CCB0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830" w:type="dxa"/>
            <w:vMerge w:val="continue"/>
            <w:vAlign w:val="center"/>
          </w:tcPr>
          <w:p w14:paraId="616B5A92">
            <w:pPr>
              <w:autoSpaceDE w:val="0"/>
              <w:autoSpaceDN w:val="0"/>
              <w:adjustRightInd w:val="0"/>
              <w:jc w:val="center"/>
              <w:rPr>
                <w:color w:val="000000"/>
                <w:kern w:val="0"/>
                <w:sz w:val="18"/>
                <w:szCs w:val="18"/>
              </w:rPr>
            </w:pPr>
          </w:p>
        </w:tc>
        <w:tc>
          <w:tcPr>
            <w:tcW w:w="2976" w:type="dxa"/>
            <w:vMerge w:val="continue"/>
            <w:vAlign w:val="center"/>
          </w:tcPr>
          <w:p w14:paraId="3D1F7812">
            <w:pPr>
              <w:autoSpaceDE w:val="0"/>
              <w:autoSpaceDN w:val="0"/>
              <w:adjustRightInd w:val="0"/>
              <w:jc w:val="center"/>
              <w:rPr>
                <w:color w:val="000000"/>
                <w:kern w:val="0"/>
                <w:sz w:val="18"/>
                <w:szCs w:val="18"/>
              </w:rPr>
            </w:pPr>
          </w:p>
        </w:tc>
        <w:tc>
          <w:tcPr>
            <w:tcW w:w="2552" w:type="dxa"/>
            <w:vMerge w:val="continue"/>
            <w:vAlign w:val="center"/>
          </w:tcPr>
          <w:p w14:paraId="2FDFADDD">
            <w:pPr>
              <w:autoSpaceDE w:val="0"/>
              <w:autoSpaceDN w:val="0"/>
              <w:adjustRightInd w:val="0"/>
              <w:jc w:val="center"/>
              <w:rPr>
                <w:color w:val="000000"/>
                <w:kern w:val="0"/>
                <w:sz w:val="18"/>
                <w:szCs w:val="18"/>
              </w:rPr>
            </w:pPr>
          </w:p>
        </w:tc>
        <w:tc>
          <w:tcPr>
            <w:tcW w:w="983" w:type="dxa"/>
            <w:vAlign w:val="center"/>
          </w:tcPr>
          <w:p w14:paraId="67082920">
            <w:pPr>
              <w:autoSpaceDE w:val="0"/>
              <w:autoSpaceDN w:val="0"/>
              <w:adjustRightInd w:val="0"/>
              <w:jc w:val="center"/>
              <w:rPr>
                <w:color w:val="000000"/>
                <w:kern w:val="0"/>
                <w:sz w:val="18"/>
                <w:szCs w:val="18"/>
              </w:rPr>
            </w:pPr>
            <w:r>
              <w:rPr>
                <w:rFonts w:hint="eastAsia"/>
                <w:color w:val="000000"/>
                <w:kern w:val="0"/>
                <w:sz w:val="18"/>
                <w:szCs w:val="18"/>
              </w:rPr>
              <w:t>1级</w:t>
            </w:r>
          </w:p>
        </w:tc>
        <w:tc>
          <w:tcPr>
            <w:tcW w:w="984" w:type="dxa"/>
            <w:vAlign w:val="center"/>
          </w:tcPr>
          <w:p w14:paraId="39F6B342">
            <w:pPr>
              <w:autoSpaceDE w:val="0"/>
              <w:autoSpaceDN w:val="0"/>
              <w:adjustRightInd w:val="0"/>
              <w:jc w:val="center"/>
              <w:rPr>
                <w:color w:val="000000"/>
                <w:kern w:val="0"/>
                <w:sz w:val="18"/>
                <w:szCs w:val="18"/>
              </w:rPr>
            </w:pPr>
            <w:r>
              <w:rPr>
                <w:rFonts w:hint="eastAsia"/>
                <w:color w:val="000000"/>
                <w:kern w:val="0"/>
                <w:sz w:val="18"/>
                <w:szCs w:val="18"/>
              </w:rPr>
              <w:t>2级</w:t>
            </w:r>
          </w:p>
        </w:tc>
      </w:tr>
      <w:tr w14:paraId="54F0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830" w:type="dxa"/>
            <w:vAlign w:val="center"/>
          </w:tcPr>
          <w:p w14:paraId="5223D7F6">
            <w:pPr>
              <w:autoSpaceDE w:val="0"/>
              <w:autoSpaceDN w:val="0"/>
              <w:adjustRightInd w:val="0"/>
              <w:jc w:val="center"/>
              <w:rPr>
                <w:color w:val="000000"/>
                <w:kern w:val="0"/>
                <w:sz w:val="18"/>
                <w:szCs w:val="18"/>
              </w:rPr>
            </w:pPr>
            <w:r>
              <w:rPr>
                <w:rFonts w:hint="eastAsia"/>
                <w:color w:val="000000"/>
                <w:kern w:val="0"/>
                <w:sz w:val="18"/>
                <w:szCs w:val="18"/>
              </w:rPr>
              <w:t>脱盐水洗涤</w:t>
            </w:r>
          </w:p>
        </w:tc>
        <w:tc>
          <w:tcPr>
            <w:tcW w:w="2976" w:type="dxa"/>
            <w:vAlign w:val="center"/>
          </w:tcPr>
          <w:p w14:paraId="743072A4">
            <w:pPr>
              <w:autoSpaceDE w:val="0"/>
              <w:autoSpaceDN w:val="0"/>
              <w:adjustRightInd w:val="0"/>
              <w:jc w:val="center"/>
              <w:rPr>
                <w:color w:val="000000"/>
                <w:kern w:val="0"/>
                <w:sz w:val="18"/>
                <w:szCs w:val="18"/>
              </w:rPr>
            </w:pPr>
            <w:r>
              <w:rPr>
                <w:rFonts w:hint="eastAsia"/>
                <w:color w:val="000000"/>
                <w:kern w:val="0"/>
                <w:sz w:val="18"/>
                <w:szCs w:val="18"/>
              </w:rPr>
              <w:t>单位非甲烷总烃去除量</w:t>
            </w:r>
            <w:r>
              <w:rPr>
                <w:color w:val="000000"/>
                <w:kern w:val="0"/>
                <w:sz w:val="18"/>
                <w:szCs w:val="18"/>
              </w:rPr>
              <w:t>碳排放量</w:t>
            </w:r>
          </w:p>
        </w:tc>
        <w:tc>
          <w:tcPr>
            <w:tcW w:w="2552" w:type="dxa"/>
            <w:vAlign w:val="center"/>
          </w:tcPr>
          <w:p w14:paraId="5FFD25C9">
            <w:pPr>
              <w:autoSpaceDE w:val="0"/>
              <w:autoSpaceDN w:val="0"/>
              <w:adjustRightInd w:val="0"/>
              <w:jc w:val="center"/>
              <w:rPr>
                <w:color w:val="000000"/>
                <w:kern w:val="0"/>
                <w:sz w:val="18"/>
                <w:szCs w:val="18"/>
              </w:rPr>
            </w:pPr>
            <w:r>
              <w:rPr>
                <w:sz w:val="18"/>
                <w:szCs w:val="18"/>
              </w:rPr>
              <w:t>tCO</w:t>
            </w:r>
            <w:r>
              <w:rPr>
                <w:sz w:val="18"/>
                <w:szCs w:val="18"/>
                <w:vertAlign w:val="subscript"/>
              </w:rPr>
              <w:t>2</w:t>
            </w:r>
            <w:r>
              <w:rPr>
                <w:sz w:val="18"/>
                <w:szCs w:val="18"/>
              </w:rPr>
              <w:t>/t</w:t>
            </w:r>
            <w:r>
              <w:rPr>
                <w:rFonts w:hint="eastAsia"/>
                <w:color w:val="000000"/>
                <w:kern w:val="0"/>
                <w:sz w:val="18"/>
                <w:szCs w:val="18"/>
              </w:rPr>
              <w:t>非甲烷总烃去除量</w:t>
            </w:r>
          </w:p>
        </w:tc>
        <w:tc>
          <w:tcPr>
            <w:tcW w:w="983" w:type="dxa"/>
            <w:vAlign w:val="center"/>
          </w:tcPr>
          <w:p w14:paraId="79D0EA51">
            <w:pPr>
              <w:autoSpaceDE w:val="0"/>
              <w:autoSpaceDN w:val="0"/>
              <w:adjustRightInd w:val="0"/>
              <w:jc w:val="center"/>
              <w:rPr>
                <w:color w:val="000000"/>
                <w:kern w:val="0"/>
                <w:sz w:val="18"/>
                <w:szCs w:val="18"/>
              </w:rPr>
            </w:pPr>
            <w:r>
              <w:rPr>
                <w:rFonts w:hint="eastAsia"/>
                <w:color w:val="000000"/>
                <w:kern w:val="0"/>
                <w:sz w:val="18"/>
                <w:szCs w:val="18"/>
              </w:rPr>
              <w:t>1</w:t>
            </w:r>
          </w:p>
        </w:tc>
        <w:tc>
          <w:tcPr>
            <w:tcW w:w="984" w:type="dxa"/>
            <w:vAlign w:val="center"/>
          </w:tcPr>
          <w:p w14:paraId="4E16AFA0">
            <w:pPr>
              <w:autoSpaceDE w:val="0"/>
              <w:autoSpaceDN w:val="0"/>
              <w:adjustRightInd w:val="0"/>
              <w:jc w:val="center"/>
              <w:rPr>
                <w:color w:val="000000"/>
                <w:kern w:val="0"/>
                <w:sz w:val="18"/>
                <w:szCs w:val="18"/>
              </w:rPr>
            </w:pPr>
            <w:r>
              <w:rPr>
                <w:rFonts w:hint="eastAsia"/>
                <w:color w:val="000000"/>
                <w:kern w:val="0"/>
                <w:sz w:val="18"/>
                <w:szCs w:val="18"/>
              </w:rPr>
              <w:t>2</w:t>
            </w:r>
          </w:p>
        </w:tc>
      </w:tr>
      <w:tr w14:paraId="5FDE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830" w:type="dxa"/>
            <w:vAlign w:val="center"/>
          </w:tcPr>
          <w:p w14:paraId="7BE6F21C">
            <w:pPr>
              <w:autoSpaceDE w:val="0"/>
              <w:autoSpaceDN w:val="0"/>
              <w:adjustRightInd w:val="0"/>
              <w:jc w:val="center"/>
              <w:rPr>
                <w:color w:val="000000"/>
                <w:kern w:val="0"/>
                <w:sz w:val="18"/>
                <w:szCs w:val="18"/>
              </w:rPr>
            </w:pPr>
            <w:r>
              <w:rPr>
                <w:rFonts w:hint="eastAsia"/>
                <w:color w:val="000000"/>
                <w:kern w:val="0"/>
                <w:sz w:val="18"/>
                <w:szCs w:val="18"/>
              </w:rPr>
              <w:t>蓄热式氧化炉焚烧</w:t>
            </w:r>
          </w:p>
        </w:tc>
        <w:tc>
          <w:tcPr>
            <w:tcW w:w="2976" w:type="dxa"/>
            <w:vAlign w:val="center"/>
          </w:tcPr>
          <w:p w14:paraId="563B722F">
            <w:pPr>
              <w:autoSpaceDE w:val="0"/>
              <w:autoSpaceDN w:val="0"/>
              <w:adjustRightInd w:val="0"/>
              <w:jc w:val="center"/>
              <w:rPr>
                <w:color w:val="000000"/>
                <w:kern w:val="0"/>
                <w:sz w:val="18"/>
                <w:szCs w:val="18"/>
              </w:rPr>
            </w:pPr>
            <w:r>
              <w:rPr>
                <w:rFonts w:hint="eastAsia"/>
                <w:color w:val="000000"/>
                <w:kern w:val="0"/>
                <w:sz w:val="18"/>
                <w:szCs w:val="18"/>
              </w:rPr>
              <w:t>单位非甲烷总烃去除量</w:t>
            </w:r>
            <w:r>
              <w:rPr>
                <w:color w:val="000000"/>
                <w:kern w:val="0"/>
                <w:sz w:val="18"/>
                <w:szCs w:val="18"/>
              </w:rPr>
              <w:t>碳排放量</w:t>
            </w:r>
          </w:p>
        </w:tc>
        <w:tc>
          <w:tcPr>
            <w:tcW w:w="2552" w:type="dxa"/>
            <w:vAlign w:val="center"/>
          </w:tcPr>
          <w:p w14:paraId="14206770">
            <w:pPr>
              <w:autoSpaceDE w:val="0"/>
              <w:autoSpaceDN w:val="0"/>
              <w:adjustRightInd w:val="0"/>
              <w:jc w:val="center"/>
              <w:rPr>
                <w:color w:val="000000"/>
                <w:kern w:val="0"/>
                <w:sz w:val="18"/>
                <w:szCs w:val="18"/>
              </w:rPr>
            </w:pPr>
            <w:r>
              <w:rPr>
                <w:sz w:val="18"/>
                <w:szCs w:val="18"/>
              </w:rPr>
              <w:t>tCO</w:t>
            </w:r>
            <w:r>
              <w:rPr>
                <w:sz w:val="18"/>
                <w:szCs w:val="18"/>
                <w:vertAlign w:val="subscript"/>
              </w:rPr>
              <w:t>2</w:t>
            </w:r>
            <w:r>
              <w:rPr>
                <w:sz w:val="18"/>
                <w:szCs w:val="18"/>
              </w:rPr>
              <w:t>/t</w:t>
            </w:r>
            <w:r>
              <w:rPr>
                <w:rFonts w:hint="eastAsia"/>
                <w:color w:val="000000"/>
                <w:kern w:val="0"/>
                <w:sz w:val="18"/>
                <w:szCs w:val="18"/>
              </w:rPr>
              <w:t>非甲烷总烃去除量</w:t>
            </w:r>
          </w:p>
        </w:tc>
        <w:tc>
          <w:tcPr>
            <w:tcW w:w="983" w:type="dxa"/>
            <w:vAlign w:val="center"/>
          </w:tcPr>
          <w:p w14:paraId="75310487">
            <w:pPr>
              <w:autoSpaceDE w:val="0"/>
              <w:autoSpaceDN w:val="0"/>
              <w:adjustRightInd w:val="0"/>
              <w:jc w:val="center"/>
              <w:rPr>
                <w:color w:val="000000"/>
                <w:kern w:val="0"/>
                <w:sz w:val="18"/>
                <w:szCs w:val="18"/>
              </w:rPr>
            </w:pPr>
            <w:r>
              <w:rPr>
                <w:rFonts w:hint="eastAsia"/>
                <w:color w:val="000000"/>
                <w:kern w:val="0"/>
                <w:sz w:val="18"/>
                <w:szCs w:val="18"/>
              </w:rPr>
              <w:t>23</w:t>
            </w:r>
          </w:p>
        </w:tc>
        <w:tc>
          <w:tcPr>
            <w:tcW w:w="984" w:type="dxa"/>
            <w:vAlign w:val="center"/>
          </w:tcPr>
          <w:p w14:paraId="6DA567C1">
            <w:pPr>
              <w:autoSpaceDE w:val="0"/>
              <w:autoSpaceDN w:val="0"/>
              <w:adjustRightInd w:val="0"/>
              <w:jc w:val="center"/>
              <w:rPr>
                <w:color w:val="000000"/>
                <w:kern w:val="0"/>
                <w:sz w:val="18"/>
                <w:szCs w:val="18"/>
              </w:rPr>
            </w:pPr>
            <w:r>
              <w:rPr>
                <w:rFonts w:hint="eastAsia"/>
                <w:color w:val="000000"/>
                <w:kern w:val="0"/>
                <w:sz w:val="18"/>
                <w:szCs w:val="18"/>
              </w:rPr>
              <w:t>36</w:t>
            </w:r>
          </w:p>
        </w:tc>
      </w:tr>
      <w:tr w14:paraId="5D770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830" w:type="dxa"/>
            <w:vAlign w:val="center"/>
          </w:tcPr>
          <w:p w14:paraId="20954EEB">
            <w:pPr>
              <w:autoSpaceDE w:val="0"/>
              <w:autoSpaceDN w:val="0"/>
              <w:adjustRightInd w:val="0"/>
              <w:jc w:val="center"/>
              <w:rPr>
                <w:color w:val="000000"/>
                <w:kern w:val="0"/>
                <w:sz w:val="18"/>
                <w:szCs w:val="18"/>
              </w:rPr>
            </w:pPr>
            <w:r>
              <w:rPr>
                <w:rFonts w:hint="eastAsia"/>
                <w:color w:val="000000"/>
                <w:kern w:val="0"/>
                <w:sz w:val="18"/>
                <w:szCs w:val="18"/>
              </w:rPr>
              <w:t>直燃式氧化炉焚烧</w:t>
            </w:r>
          </w:p>
        </w:tc>
        <w:tc>
          <w:tcPr>
            <w:tcW w:w="2976" w:type="dxa"/>
            <w:vAlign w:val="center"/>
          </w:tcPr>
          <w:p w14:paraId="3EA26F75">
            <w:pPr>
              <w:autoSpaceDE w:val="0"/>
              <w:autoSpaceDN w:val="0"/>
              <w:adjustRightInd w:val="0"/>
              <w:jc w:val="center"/>
              <w:rPr>
                <w:color w:val="000000"/>
                <w:kern w:val="0"/>
                <w:sz w:val="18"/>
                <w:szCs w:val="18"/>
              </w:rPr>
            </w:pPr>
            <w:r>
              <w:rPr>
                <w:rFonts w:hint="eastAsia"/>
                <w:color w:val="000000"/>
                <w:kern w:val="0"/>
                <w:sz w:val="18"/>
                <w:szCs w:val="18"/>
              </w:rPr>
              <w:t>单位非甲烷总烃去除量</w:t>
            </w:r>
            <w:r>
              <w:rPr>
                <w:color w:val="000000"/>
                <w:kern w:val="0"/>
                <w:sz w:val="18"/>
                <w:szCs w:val="18"/>
              </w:rPr>
              <w:t>碳排放量</w:t>
            </w:r>
          </w:p>
        </w:tc>
        <w:tc>
          <w:tcPr>
            <w:tcW w:w="2552" w:type="dxa"/>
            <w:vAlign w:val="center"/>
          </w:tcPr>
          <w:p w14:paraId="66F48A72">
            <w:pPr>
              <w:autoSpaceDE w:val="0"/>
              <w:autoSpaceDN w:val="0"/>
              <w:adjustRightInd w:val="0"/>
              <w:jc w:val="center"/>
              <w:rPr>
                <w:color w:val="000000"/>
                <w:kern w:val="0"/>
                <w:sz w:val="18"/>
                <w:szCs w:val="18"/>
              </w:rPr>
            </w:pPr>
            <w:r>
              <w:rPr>
                <w:sz w:val="18"/>
                <w:szCs w:val="18"/>
              </w:rPr>
              <w:t>tCO</w:t>
            </w:r>
            <w:r>
              <w:rPr>
                <w:sz w:val="18"/>
                <w:szCs w:val="18"/>
                <w:vertAlign w:val="subscript"/>
              </w:rPr>
              <w:t>2</w:t>
            </w:r>
            <w:r>
              <w:rPr>
                <w:sz w:val="18"/>
                <w:szCs w:val="18"/>
              </w:rPr>
              <w:t>/t</w:t>
            </w:r>
            <w:r>
              <w:rPr>
                <w:rFonts w:hint="eastAsia"/>
                <w:color w:val="000000"/>
                <w:kern w:val="0"/>
                <w:sz w:val="18"/>
                <w:szCs w:val="18"/>
              </w:rPr>
              <w:t>非甲烷总烃去除量</w:t>
            </w:r>
          </w:p>
        </w:tc>
        <w:tc>
          <w:tcPr>
            <w:tcW w:w="983" w:type="dxa"/>
            <w:vAlign w:val="center"/>
          </w:tcPr>
          <w:p w14:paraId="1B1C3C65">
            <w:pPr>
              <w:autoSpaceDE w:val="0"/>
              <w:autoSpaceDN w:val="0"/>
              <w:adjustRightInd w:val="0"/>
              <w:jc w:val="center"/>
              <w:rPr>
                <w:color w:val="000000"/>
                <w:kern w:val="0"/>
                <w:sz w:val="18"/>
                <w:szCs w:val="18"/>
              </w:rPr>
            </w:pPr>
            <w:r>
              <w:rPr>
                <w:rFonts w:hint="eastAsia"/>
                <w:color w:val="000000"/>
                <w:kern w:val="0"/>
                <w:sz w:val="18"/>
                <w:szCs w:val="18"/>
              </w:rPr>
              <w:t>34</w:t>
            </w:r>
          </w:p>
        </w:tc>
        <w:tc>
          <w:tcPr>
            <w:tcW w:w="984" w:type="dxa"/>
            <w:vAlign w:val="center"/>
          </w:tcPr>
          <w:p w14:paraId="054EF4C7">
            <w:pPr>
              <w:autoSpaceDE w:val="0"/>
              <w:autoSpaceDN w:val="0"/>
              <w:adjustRightInd w:val="0"/>
              <w:jc w:val="center"/>
              <w:rPr>
                <w:color w:val="000000"/>
                <w:kern w:val="0"/>
                <w:sz w:val="18"/>
                <w:szCs w:val="18"/>
              </w:rPr>
            </w:pPr>
            <w:r>
              <w:rPr>
                <w:rFonts w:hint="eastAsia"/>
                <w:color w:val="000000"/>
                <w:kern w:val="0"/>
                <w:sz w:val="18"/>
                <w:szCs w:val="18"/>
              </w:rPr>
              <w:t>39</w:t>
            </w:r>
          </w:p>
        </w:tc>
      </w:tr>
    </w:tbl>
    <w:p w14:paraId="10F82966">
      <w:pPr>
        <w:pStyle w:val="25"/>
        <w:ind w:firstLine="0" w:firstLineChars="0"/>
      </w:pPr>
    </w:p>
    <w:p w14:paraId="30A79E5A">
      <w:pPr>
        <w:pStyle w:val="131"/>
        <w:numPr>
          <w:ilvl w:val="1"/>
          <w:numId w:val="23"/>
        </w:numPr>
        <w:spacing w:beforeLines="50" w:afterLines="50"/>
        <w:ind w:left="530" w:hanging="530"/>
      </w:pPr>
      <w:r>
        <w:rPr>
          <w:rFonts w:hint="eastAsia"/>
        </w:rPr>
        <w:t>浓盐水处理系统单位浓盐水处理量碳排放水平基准</w:t>
      </w:r>
    </w:p>
    <w:p w14:paraId="55DFEDC0">
      <w:pPr>
        <w:pStyle w:val="25"/>
      </w:pPr>
      <w:r>
        <w:rPr>
          <w:rFonts w:hint="eastAsia"/>
        </w:rPr>
        <w:t>浓盐水处理系统单位浓盐水处理量碳排放水平基准见表</w:t>
      </w:r>
      <w:r>
        <w:t>3</w:t>
      </w:r>
      <w:r>
        <w:rPr>
          <w:rFonts w:hint="eastAsia"/>
        </w:rPr>
        <w:t>。</w:t>
      </w:r>
    </w:p>
    <w:p w14:paraId="3A0EFF77">
      <w:pPr>
        <w:pStyle w:val="25"/>
      </w:pPr>
    </w:p>
    <w:p w14:paraId="7CB719C6">
      <w:pPr>
        <w:pStyle w:val="175"/>
        <w:spacing w:before="156" w:line="240" w:lineRule="auto"/>
        <w:rPr>
          <w:rFonts w:ascii="黑体" w:hAnsi="黑体" w:eastAsia="黑体"/>
          <w:b w:val="0"/>
          <w:bCs/>
        </w:rPr>
      </w:pPr>
      <w:r>
        <w:rPr>
          <w:rFonts w:ascii="黑体" w:hAnsi="黑体" w:eastAsia="黑体"/>
          <w:b w:val="0"/>
          <w:bCs/>
        </w:rPr>
        <w:t xml:space="preserve">表3  </w:t>
      </w:r>
      <w:r>
        <w:rPr>
          <w:rFonts w:hint="eastAsia" w:ascii="黑体" w:hAnsi="黑体" w:eastAsia="黑体"/>
          <w:b w:val="0"/>
          <w:bCs/>
        </w:rPr>
        <w:t>浓盐水处理系统单位浓盐水处理量碳排放水平基准</w:t>
      </w:r>
    </w:p>
    <w:tbl>
      <w:tblPr>
        <w:tblStyle w:val="35"/>
        <w:tblW w:w="9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0"/>
        <w:gridCol w:w="2976"/>
        <w:gridCol w:w="2552"/>
        <w:gridCol w:w="983"/>
        <w:gridCol w:w="984"/>
      </w:tblGrid>
      <w:tr w14:paraId="02FDA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830" w:type="dxa"/>
            <w:vMerge w:val="restart"/>
            <w:vAlign w:val="center"/>
          </w:tcPr>
          <w:p w14:paraId="4BBCD7E2">
            <w:pPr>
              <w:autoSpaceDE w:val="0"/>
              <w:autoSpaceDN w:val="0"/>
              <w:adjustRightInd w:val="0"/>
              <w:jc w:val="center"/>
              <w:rPr>
                <w:color w:val="000000"/>
                <w:kern w:val="0"/>
                <w:sz w:val="18"/>
                <w:szCs w:val="18"/>
              </w:rPr>
            </w:pPr>
            <w:r>
              <w:rPr>
                <w:rFonts w:hint="eastAsia"/>
                <w:color w:val="000000"/>
                <w:kern w:val="0"/>
                <w:sz w:val="18"/>
                <w:szCs w:val="18"/>
              </w:rPr>
              <w:t>类型名称</w:t>
            </w:r>
          </w:p>
        </w:tc>
        <w:tc>
          <w:tcPr>
            <w:tcW w:w="2976" w:type="dxa"/>
            <w:vMerge w:val="restart"/>
            <w:vAlign w:val="center"/>
          </w:tcPr>
          <w:p w14:paraId="7C70B9E3">
            <w:pPr>
              <w:autoSpaceDE w:val="0"/>
              <w:autoSpaceDN w:val="0"/>
              <w:adjustRightInd w:val="0"/>
              <w:jc w:val="center"/>
              <w:rPr>
                <w:color w:val="000000"/>
                <w:kern w:val="0"/>
                <w:sz w:val="18"/>
                <w:szCs w:val="18"/>
              </w:rPr>
            </w:pPr>
            <w:r>
              <w:rPr>
                <w:rFonts w:hint="eastAsia"/>
                <w:color w:val="000000"/>
                <w:kern w:val="0"/>
                <w:sz w:val="18"/>
                <w:szCs w:val="18"/>
              </w:rPr>
              <w:t>名称</w:t>
            </w:r>
          </w:p>
        </w:tc>
        <w:tc>
          <w:tcPr>
            <w:tcW w:w="2552" w:type="dxa"/>
            <w:vMerge w:val="restart"/>
            <w:vAlign w:val="center"/>
          </w:tcPr>
          <w:p w14:paraId="361F3F0F">
            <w:pPr>
              <w:autoSpaceDE w:val="0"/>
              <w:autoSpaceDN w:val="0"/>
              <w:adjustRightInd w:val="0"/>
              <w:jc w:val="center"/>
              <w:rPr>
                <w:color w:val="000000"/>
                <w:kern w:val="0"/>
                <w:sz w:val="18"/>
                <w:szCs w:val="18"/>
              </w:rPr>
            </w:pPr>
            <w:r>
              <w:rPr>
                <w:rFonts w:hint="eastAsia"/>
                <w:color w:val="000000"/>
                <w:kern w:val="0"/>
                <w:sz w:val="18"/>
                <w:szCs w:val="18"/>
              </w:rPr>
              <w:t>单位</w:t>
            </w:r>
          </w:p>
        </w:tc>
        <w:tc>
          <w:tcPr>
            <w:tcW w:w="1967" w:type="dxa"/>
            <w:gridSpan w:val="2"/>
            <w:vAlign w:val="center"/>
          </w:tcPr>
          <w:p w14:paraId="5E36B643">
            <w:pPr>
              <w:autoSpaceDE w:val="0"/>
              <w:autoSpaceDN w:val="0"/>
              <w:adjustRightInd w:val="0"/>
              <w:jc w:val="center"/>
              <w:rPr>
                <w:color w:val="000000"/>
                <w:kern w:val="0"/>
                <w:sz w:val="18"/>
                <w:szCs w:val="18"/>
              </w:rPr>
            </w:pPr>
            <w:r>
              <w:rPr>
                <w:rFonts w:hint="eastAsia"/>
                <w:color w:val="000000"/>
                <w:kern w:val="0"/>
                <w:sz w:val="18"/>
                <w:szCs w:val="18"/>
              </w:rPr>
              <w:t>基准</w:t>
            </w:r>
          </w:p>
        </w:tc>
      </w:tr>
      <w:tr w14:paraId="2D837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830" w:type="dxa"/>
            <w:vMerge w:val="continue"/>
            <w:vAlign w:val="center"/>
          </w:tcPr>
          <w:p w14:paraId="7CB329E4">
            <w:pPr>
              <w:autoSpaceDE w:val="0"/>
              <w:autoSpaceDN w:val="0"/>
              <w:adjustRightInd w:val="0"/>
              <w:jc w:val="center"/>
              <w:rPr>
                <w:color w:val="000000"/>
                <w:kern w:val="0"/>
                <w:sz w:val="18"/>
                <w:szCs w:val="18"/>
              </w:rPr>
            </w:pPr>
          </w:p>
        </w:tc>
        <w:tc>
          <w:tcPr>
            <w:tcW w:w="2976" w:type="dxa"/>
            <w:vMerge w:val="continue"/>
            <w:vAlign w:val="center"/>
          </w:tcPr>
          <w:p w14:paraId="5EA7BFE5">
            <w:pPr>
              <w:autoSpaceDE w:val="0"/>
              <w:autoSpaceDN w:val="0"/>
              <w:adjustRightInd w:val="0"/>
              <w:jc w:val="center"/>
              <w:rPr>
                <w:color w:val="000000"/>
                <w:kern w:val="0"/>
                <w:sz w:val="18"/>
                <w:szCs w:val="18"/>
              </w:rPr>
            </w:pPr>
          </w:p>
        </w:tc>
        <w:tc>
          <w:tcPr>
            <w:tcW w:w="2552" w:type="dxa"/>
            <w:vMerge w:val="continue"/>
            <w:vAlign w:val="center"/>
          </w:tcPr>
          <w:p w14:paraId="260EEEA0">
            <w:pPr>
              <w:autoSpaceDE w:val="0"/>
              <w:autoSpaceDN w:val="0"/>
              <w:adjustRightInd w:val="0"/>
              <w:jc w:val="center"/>
              <w:rPr>
                <w:color w:val="000000"/>
                <w:kern w:val="0"/>
                <w:sz w:val="18"/>
                <w:szCs w:val="18"/>
              </w:rPr>
            </w:pPr>
          </w:p>
        </w:tc>
        <w:tc>
          <w:tcPr>
            <w:tcW w:w="983" w:type="dxa"/>
            <w:vAlign w:val="center"/>
          </w:tcPr>
          <w:p w14:paraId="2B896253">
            <w:pPr>
              <w:autoSpaceDE w:val="0"/>
              <w:autoSpaceDN w:val="0"/>
              <w:adjustRightInd w:val="0"/>
              <w:jc w:val="center"/>
              <w:rPr>
                <w:color w:val="000000"/>
                <w:kern w:val="0"/>
                <w:sz w:val="18"/>
                <w:szCs w:val="18"/>
              </w:rPr>
            </w:pPr>
            <w:r>
              <w:rPr>
                <w:rFonts w:hint="eastAsia"/>
                <w:color w:val="000000"/>
                <w:kern w:val="0"/>
                <w:sz w:val="18"/>
                <w:szCs w:val="18"/>
              </w:rPr>
              <w:t>1级</w:t>
            </w:r>
          </w:p>
        </w:tc>
        <w:tc>
          <w:tcPr>
            <w:tcW w:w="984" w:type="dxa"/>
            <w:vAlign w:val="center"/>
          </w:tcPr>
          <w:p w14:paraId="12F93515">
            <w:pPr>
              <w:autoSpaceDE w:val="0"/>
              <w:autoSpaceDN w:val="0"/>
              <w:adjustRightInd w:val="0"/>
              <w:jc w:val="center"/>
              <w:rPr>
                <w:color w:val="000000"/>
                <w:kern w:val="0"/>
                <w:sz w:val="18"/>
                <w:szCs w:val="18"/>
              </w:rPr>
            </w:pPr>
            <w:r>
              <w:rPr>
                <w:rFonts w:hint="eastAsia"/>
                <w:color w:val="000000"/>
                <w:kern w:val="0"/>
                <w:sz w:val="18"/>
                <w:szCs w:val="18"/>
              </w:rPr>
              <w:t>2级</w:t>
            </w:r>
          </w:p>
        </w:tc>
      </w:tr>
      <w:tr w14:paraId="344DB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830" w:type="dxa"/>
            <w:vAlign w:val="center"/>
          </w:tcPr>
          <w:p w14:paraId="5E81D07B">
            <w:pPr>
              <w:autoSpaceDE w:val="0"/>
              <w:autoSpaceDN w:val="0"/>
              <w:adjustRightInd w:val="0"/>
              <w:jc w:val="center"/>
              <w:rPr>
                <w:color w:val="000000"/>
                <w:kern w:val="0"/>
                <w:sz w:val="18"/>
                <w:szCs w:val="18"/>
              </w:rPr>
            </w:pPr>
            <w:r>
              <w:rPr>
                <w:rFonts w:hint="eastAsia"/>
                <w:color w:val="000000"/>
                <w:kern w:val="0"/>
                <w:sz w:val="18"/>
                <w:szCs w:val="18"/>
              </w:rPr>
              <w:t>浓盐水处理</w:t>
            </w:r>
          </w:p>
        </w:tc>
        <w:tc>
          <w:tcPr>
            <w:tcW w:w="2976" w:type="dxa"/>
            <w:vAlign w:val="center"/>
          </w:tcPr>
          <w:p w14:paraId="106B8CA7">
            <w:pPr>
              <w:autoSpaceDE w:val="0"/>
              <w:autoSpaceDN w:val="0"/>
              <w:adjustRightInd w:val="0"/>
              <w:jc w:val="center"/>
              <w:rPr>
                <w:color w:val="000000"/>
                <w:kern w:val="0"/>
                <w:sz w:val="18"/>
                <w:szCs w:val="18"/>
              </w:rPr>
            </w:pPr>
            <w:r>
              <w:rPr>
                <w:rFonts w:hint="eastAsia"/>
                <w:color w:val="000000"/>
                <w:kern w:val="0"/>
                <w:sz w:val="18"/>
                <w:szCs w:val="18"/>
              </w:rPr>
              <w:t>单位浓盐水处理量</w:t>
            </w:r>
          </w:p>
        </w:tc>
        <w:tc>
          <w:tcPr>
            <w:tcW w:w="2552" w:type="dxa"/>
            <w:vAlign w:val="center"/>
          </w:tcPr>
          <w:p w14:paraId="012C80A4">
            <w:pPr>
              <w:autoSpaceDE w:val="0"/>
              <w:autoSpaceDN w:val="0"/>
              <w:adjustRightInd w:val="0"/>
              <w:jc w:val="center"/>
              <w:rPr>
                <w:color w:val="000000"/>
                <w:kern w:val="0"/>
                <w:sz w:val="18"/>
                <w:szCs w:val="18"/>
              </w:rPr>
            </w:pPr>
            <w:r>
              <w:rPr>
                <w:sz w:val="18"/>
                <w:szCs w:val="18"/>
              </w:rPr>
              <w:t>tCO</w:t>
            </w:r>
            <w:r>
              <w:rPr>
                <w:sz w:val="18"/>
                <w:szCs w:val="18"/>
                <w:vertAlign w:val="subscript"/>
              </w:rPr>
              <w:t>2</w:t>
            </w:r>
            <w:r>
              <w:rPr>
                <w:sz w:val="18"/>
                <w:szCs w:val="18"/>
              </w:rPr>
              <w:t>/t</w:t>
            </w:r>
            <w:r>
              <w:rPr>
                <w:rFonts w:hint="eastAsia"/>
                <w:color w:val="000000"/>
                <w:kern w:val="0"/>
                <w:sz w:val="18"/>
                <w:szCs w:val="18"/>
              </w:rPr>
              <w:t>浓盐水处理量</w:t>
            </w:r>
          </w:p>
        </w:tc>
        <w:tc>
          <w:tcPr>
            <w:tcW w:w="983" w:type="dxa"/>
            <w:vAlign w:val="center"/>
          </w:tcPr>
          <w:p w14:paraId="6B7E79DC">
            <w:pPr>
              <w:autoSpaceDE w:val="0"/>
              <w:autoSpaceDN w:val="0"/>
              <w:adjustRightInd w:val="0"/>
              <w:jc w:val="center"/>
              <w:rPr>
                <w:color w:val="000000"/>
                <w:kern w:val="0"/>
                <w:sz w:val="18"/>
                <w:szCs w:val="18"/>
              </w:rPr>
            </w:pPr>
            <w:r>
              <w:rPr>
                <w:rFonts w:hint="eastAsia"/>
                <w:color w:val="000000"/>
                <w:kern w:val="0"/>
                <w:sz w:val="18"/>
                <w:szCs w:val="18"/>
              </w:rPr>
              <w:t>0.02</w:t>
            </w:r>
          </w:p>
        </w:tc>
        <w:tc>
          <w:tcPr>
            <w:tcW w:w="984" w:type="dxa"/>
            <w:vAlign w:val="center"/>
          </w:tcPr>
          <w:p w14:paraId="5B97BC44">
            <w:pPr>
              <w:autoSpaceDE w:val="0"/>
              <w:autoSpaceDN w:val="0"/>
              <w:adjustRightInd w:val="0"/>
              <w:jc w:val="center"/>
              <w:rPr>
                <w:color w:val="000000"/>
                <w:kern w:val="0"/>
                <w:sz w:val="18"/>
                <w:szCs w:val="18"/>
              </w:rPr>
            </w:pPr>
            <w:r>
              <w:rPr>
                <w:rFonts w:hint="eastAsia"/>
                <w:color w:val="000000"/>
                <w:kern w:val="0"/>
                <w:sz w:val="18"/>
                <w:szCs w:val="18"/>
              </w:rPr>
              <w:t>0.03</w:t>
            </w:r>
          </w:p>
        </w:tc>
      </w:tr>
      <w:bookmarkEnd w:id="43"/>
      <w:bookmarkEnd w:id="44"/>
      <w:bookmarkEnd w:id="45"/>
      <w:bookmarkEnd w:id="46"/>
      <w:bookmarkEnd w:id="47"/>
      <w:bookmarkEnd w:id="48"/>
      <w:bookmarkEnd w:id="49"/>
      <w:bookmarkEnd w:id="50"/>
      <w:bookmarkEnd w:id="51"/>
      <w:bookmarkEnd w:id="52"/>
      <w:bookmarkEnd w:id="53"/>
      <w:bookmarkEnd w:id="54"/>
      <w:bookmarkEnd w:id="55"/>
    </w:tbl>
    <w:p w14:paraId="60F1EA88">
      <w:pPr>
        <w:pStyle w:val="131"/>
        <w:numPr>
          <w:ilvl w:val="0"/>
          <w:numId w:val="23"/>
        </w:numPr>
        <w:spacing w:before="312" w:after="312"/>
        <w:ind w:left="0" w:firstLine="0"/>
        <w:outlineLvl w:val="0"/>
      </w:pPr>
      <w:bookmarkStart w:id="56" w:name="_Toc121175264"/>
      <w:bookmarkStart w:id="57" w:name="_Toc394698321"/>
      <w:bookmarkStart w:id="58" w:name="_Toc245605189"/>
      <w:bookmarkStart w:id="59" w:name="_Toc256861085"/>
      <w:r>
        <w:rPr>
          <w:rFonts w:hint="eastAsia"/>
        </w:rPr>
        <w:t>统计范围</w:t>
      </w:r>
      <w:bookmarkEnd w:id="56"/>
    </w:p>
    <w:p w14:paraId="2D94013F">
      <w:pPr>
        <w:pStyle w:val="25"/>
      </w:pPr>
      <w:r>
        <w:rPr>
          <w:rFonts w:hint="eastAsia"/>
        </w:rPr>
        <w:t>本文件中所述</w:t>
      </w:r>
      <w:r>
        <w:t>碳排放量包括</w:t>
      </w:r>
      <w:r>
        <w:rPr>
          <w:rFonts w:hint="eastAsia"/>
        </w:rPr>
        <w:t>不同煤气化类型煤制合成气工序低温甲醇洗</w:t>
      </w:r>
      <w:r>
        <w:t>碳排放量，</w:t>
      </w:r>
      <w:r>
        <w:rPr>
          <w:rFonts w:hint="eastAsia"/>
        </w:rPr>
        <w:t>低温甲醇洗尾气非甲烷总烃去除措施</w:t>
      </w:r>
      <w:r>
        <w:t>碳排放量</w:t>
      </w:r>
      <w:r>
        <w:rPr>
          <w:rFonts w:hint="eastAsia"/>
        </w:rPr>
        <w:t>和浓盐水处理系统</w:t>
      </w:r>
      <w:r>
        <w:t>碳排放量。</w:t>
      </w:r>
    </w:p>
    <w:p w14:paraId="2ECAE87C">
      <w:pPr>
        <w:pStyle w:val="131"/>
        <w:numPr>
          <w:ilvl w:val="1"/>
          <w:numId w:val="23"/>
        </w:numPr>
        <w:spacing w:beforeLines="50" w:afterLines="50"/>
        <w:ind w:left="530" w:hanging="530"/>
      </w:pPr>
      <w:r>
        <w:rPr>
          <w:rFonts w:hint="eastAsia"/>
        </w:rPr>
        <w:t>不同煤气化类型</w:t>
      </w:r>
      <w:r>
        <w:t>煤制合成气工序</w:t>
      </w:r>
      <w:r>
        <w:rPr>
          <w:rFonts w:hint="eastAsia"/>
        </w:rPr>
        <w:t>低温甲醇洗</w:t>
      </w:r>
    </w:p>
    <w:p w14:paraId="0EA3C607">
      <w:pPr>
        <w:pStyle w:val="173"/>
      </w:pPr>
      <w:r>
        <w:rPr>
          <w:rFonts w:hint="eastAsia"/>
        </w:rPr>
        <w:t>不同煤气化类型</w:t>
      </w:r>
      <w:r>
        <w:t>煤制合成气</w:t>
      </w:r>
      <w:r>
        <w:rPr>
          <w:rFonts w:hint="eastAsia"/>
        </w:rPr>
        <w:t>工序低温甲醇洗</w:t>
      </w:r>
      <w:r>
        <w:t>碳排放量指通过</w:t>
      </w:r>
      <w:r>
        <w:rPr>
          <w:rFonts w:hint="eastAsia"/>
        </w:rPr>
        <w:t>低温甲醇洗尾气排放的直接碳排放量。</w:t>
      </w:r>
    </w:p>
    <w:p w14:paraId="3381C9A9">
      <w:pPr>
        <w:pStyle w:val="131"/>
        <w:numPr>
          <w:ilvl w:val="1"/>
          <w:numId w:val="23"/>
        </w:numPr>
        <w:spacing w:beforeLines="50" w:afterLines="50"/>
        <w:ind w:left="530" w:hanging="530"/>
      </w:pPr>
      <w:r>
        <w:rPr>
          <w:rFonts w:hint="eastAsia"/>
        </w:rPr>
        <w:t>低温甲醇洗尾气非甲烷总烃去除措施</w:t>
      </w:r>
    </w:p>
    <w:p w14:paraId="4192D241">
      <w:pPr>
        <w:pStyle w:val="173"/>
      </w:pPr>
      <w:r>
        <w:rPr>
          <w:rFonts w:hint="eastAsia"/>
        </w:rPr>
        <w:t>现阶段，低温甲醇洗尾气非甲烷总烃去除碳排放量</w:t>
      </w:r>
      <w:r>
        <w:t>包括</w:t>
      </w:r>
      <w:r>
        <w:rPr>
          <w:rFonts w:hint="eastAsia"/>
        </w:rPr>
        <w:t>脱盐水洗涤措施的</w:t>
      </w:r>
      <w:r>
        <w:t>间接碳排放量；</w:t>
      </w:r>
      <w:r>
        <w:rPr>
          <w:rFonts w:hint="eastAsia"/>
        </w:rPr>
        <w:t>蓄热式氧化炉焚烧措施</w:t>
      </w:r>
      <w:r>
        <w:t>的直接碳排放和间接碳排放量</w:t>
      </w:r>
      <w:r>
        <w:rPr>
          <w:rFonts w:hint="eastAsia"/>
        </w:rPr>
        <w:t>（如有）</w:t>
      </w:r>
      <w:r>
        <w:t>；</w:t>
      </w:r>
      <w:r>
        <w:rPr>
          <w:rFonts w:hint="eastAsia"/>
        </w:rPr>
        <w:t>直燃式氧化炉焚烧措施</w:t>
      </w:r>
      <w:r>
        <w:t>的直接碳排放和间接碳排放量</w:t>
      </w:r>
      <w:r>
        <w:rPr>
          <w:rFonts w:hint="eastAsia"/>
        </w:rPr>
        <w:t>（如有）</w:t>
      </w:r>
      <w:r>
        <w:t>。</w:t>
      </w:r>
    </w:p>
    <w:p w14:paraId="03FBB8EE">
      <w:pPr>
        <w:pStyle w:val="131"/>
        <w:numPr>
          <w:ilvl w:val="1"/>
          <w:numId w:val="23"/>
        </w:numPr>
        <w:spacing w:beforeLines="50" w:afterLines="50"/>
        <w:ind w:left="530" w:hanging="530"/>
      </w:pPr>
      <w:r>
        <w:rPr>
          <w:rFonts w:hint="eastAsia"/>
        </w:rPr>
        <w:t>浓盐水处理系统</w:t>
      </w:r>
    </w:p>
    <w:p w14:paraId="7A380CB3">
      <w:pPr>
        <w:pStyle w:val="173"/>
      </w:pPr>
      <w:r>
        <w:rPr>
          <w:rFonts w:hint="eastAsia"/>
        </w:rPr>
        <w:t>浓盐水处理系统碳排放量</w:t>
      </w:r>
      <w:r>
        <w:t>包括</w:t>
      </w:r>
      <w:r>
        <w:rPr>
          <w:rFonts w:hint="eastAsia"/>
        </w:rPr>
        <w:t>浓盐水处理系统</w:t>
      </w:r>
      <w:r>
        <w:t>的间接碳排放量。</w:t>
      </w:r>
    </w:p>
    <w:p w14:paraId="708AD238">
      <w:pPr>
        <w:pStyle w:val="131"/>
        <w:numPr>
          <w:ilvl w:val="0"/>
          <w:numId w:val="23"/>
        </w:numPr>
        <w:spacing w:before="312" w:after="312"/>
        <w:ind w:left="0" w:firstLine="0"/>
        <w:outlineLvl w:val="0"/>
      </w:pPr>
      <w:r>
        <w:t>计算方法</w:t>
      </w:r>
    </w:p>
    <w:p w14:paraId="365E60F3">
      <w:pPr>
        <w:pStyle w:val="131"/>
        <w:numPr>
          <w:ilvl w:val="1"/>
          <w:numId w:val="23"/>
        </w:numPr>
        <w:spacing w:beforeLines="50" w:afterLines="50"/>
        <w:ind w:left="530" w:hanging="530"/>
      </w:pPr>
      <w:r>
        <w:t>碳排放量的计算</w:t>
      </w:r>
    </w:p>
    <w:p w14:paraId="321A2624">
      <w:pPr>
        <w:pStyle w:val="173"/>
      </w:pPr>
      <w:r>
        <w:rPr>
          <w:rFonts w:hint="eastAsia"/>
        </w:rPr>
        <w:t>现代煤化工行业污染治理措施</w:t>
      </w:r>
      <w:r>
        <w:t>的碳排放量核算依据</w:t>
      </w:r>
      <w:r>
        <w:rPr>
          <w:rFonts w:hAnsi="宋体"/>
        </w:rPr>
        <w:t>T/CCECTA 0104</w:t>
      </w:r>
      <w:r>
        <w:rPr>
          <w:rFonts w:hint="eastAsia" w:hAnsi="宋体"/>
        </w:rPr>
        <w:t>和环办科技〔2017〕73号</w:t>
      </w:r>
      <w:r>
        <w:t>进行计算。</w:t>
      </w:r>
    </w:p>
    <w:p w14:paraId="72C6A72C">
      <w:pPr>
        <w:pStyle w:val="131"/>
        <w:numPr>
          <w:ilvl w:val="1"/>
          <w:numId w:val="23"/>
        </w:numPr>
        <w:spacing w:beforeLines="50" w:afterLines="50"/>
        <w:ind w:left="530" w:hanging="530"/>
      </w:pPr>
      <w:r>
        <w:rPr>
          <w:rFonts w:hint="eastAsia"/>
        </w:rPr>
        <w:t>单位产品（有效合成气，</w:t>
      </w:r>
      <w:r>
        <w:rPr>
          <w:szCs w:val="21"/>
        </w:rPr>
        <w:t>CO+H</w:t>
      </w:r>
      <w:r>
        <w:rPr>
          <w:szCs w:val="21"/>
          <w:vertAlign w:val="subscript"/>
        </w:rPr>
        <w:t>2</w:t>
      </w:r>
      <w:r>
        <w:rPr>
          <w:rFonts w:hint="eastAsia"/>
        </w:rPr>
        <w:t>）低温甲醇洗直接碳排放</w:t>
      </w:r>
      <w:r>
        <w:t>量的计算</w:t>
      </w:r>
    </w:p>
    <w:p w14:paraId="1E781F39">
      <w:pPr>
        <w:pStyle w:val="173"/>
      </w:pPr>
      <w:r>
        <w:rPr>
          <w:rFonts w:hint="eastAsia"/>
        </w:rPr>
        <w:t>不同煤气化类型煤制合成气工序单位产品（有效合成气，</w:t>
      </w:r>
      <w:r>
        <w:rPr>
          <w:szCs w:val="21"/>
        </w:rPr>
        <w:t>CO+H</w:t>
      </w:r>
      <w:r>
        <w:rPr>
          <w:szCs w:val="21"/>
          <w:vertAlign w:val="subscript"/>
        </w:rPr>
        <w:t>2</w:t>
      </w:r>
      <w:r>
        <w:rPr>
          <w:rFonts w:hint="eastAsia"/>
        </w:rPr>
        <w:t>）低温甲醇洗直接碳排放</w:t>
      </w:r>
      <w:r>
        <w:t>量按式（1）计算：</w:t>
      </w:r>
    </w:p>
    <w:p w14:paraId="14DFDE0B">
      <w:pPr>
        <w:pStyle w:val="173"/>
        <w:adjustRightInd w:val="0"/>
        <w:snapToGrid w:val="0"/>
        <w:ind w:firstLine="480"/>
        <w:jc w:val="center"/>
        <w:textAlignment w:val="center"/>
      </w:pPr>
      <m:oMath>
        <m:r>
          <m:rPr/>
          <w:rPr>
            <w:rFonts w:ascii="Cambria Math" w:hAnsi="Cambria Math"/>
            <w:sz w:val="24"/>
          </w:rPr>
          <m:t>e=</m:t>
        </m:r>
        <m:f>
          <m:fPr>
            <m:ctrlPr>
              <w:rPr>
                <w:rFonts w:ascii="Cambria Math" w:hAnsi="Cambria Math"/>
                <w:i/>
                <w:sz w:val="24"/>
              </w:rPr>
            </m:ctrlPr>
          </m:fPr>
          <m:num>
            <m:r>
              <m:rPr/>
              <w:rPr>
                <w:rFonts w:ascii="Cambria Math" w:hAnsi="Cambria Math"/>
                <w:sz w:val="24"/>
              </w:rPr>
              <m:t>E</m:t>
            </m:r>
            <m:ctrlPr>
              <w:rPr>
                <w:rFonts w:ascii="Cambria Math" w:hAnsi="Cambria Math"/>
                <w:i/>
                <w:sz w:val="24"/>
              </w:rPr>
            </m:ctrlPr>
          </m:num>
          <m:den>
            <m:r>
              <m:rPr/>
              <w:rPr>
                <w:rFonts w:ascii="Cambria Math" w:hAnsi="Cambria Math"/>
                <w:sz w:val="24"/>
              </w:rPr>
              <m:t>P</m:t>
            </m:r>
            <m:ctrlPr>
              <w:rPr>
                <w:rFonts w:ascii="Cambria Math" w:hAnsi="Cambria Math"/>
                <w:i/>
                <w:sz w:val="24"/>
              </w:rPr>
            </m:ctrlPr>
          </m:den>
        </m:f>
      </m:oMath>
      <w:r>
        <w:t xml:space="preserve">           式（1）</w:t>
      </w:r>
    </w:p>
    <w:p w14:paraId="4DF735E1">
      <w:pPr>
        <w:pStyle w:val="173"/>
      </w:pPr>
      <w:r>
        <w:t>式中:</w:t>
      </w:r>
    </w:p>
    <w:p w14:paraId="5D955A9D">
      <w:pPr>
        <w:pStyle w:val="173"/>
      </w:pPr>
      <w:r>
        <w:t>e—报告期内</w:t>
      </w:r>
      <w:r>
        <w:rPr>
          <w:rFonts w:hint="eastAsia"/>
        </w:rPr>
        <w:t>单位产品（有效合成气，</w:t>
      </w:r>
      <w:r>
        <w:rPr>
          <w:szCs w:val="21"/>
        </w:rPr>
        <w:t>CO+H</w:t>
      </w:r>
      <w:r>
        <w:rPr>
          <w:szCs w:val="21"/>
          <w:vertAlign w:val="subscript"/>
        </w:rPr>
        <w:t>2</w:t>
      </w:r>
      <w:r>
        <w:rPr>
          <w:rFonts w:hint="eastAsia"/>
        </w:rPr>
        <w:t>）低温甲醇洗直接碳排放</w:t>
      </w:r>
      <w:r>
        <w:t>量，单位为吨二氧化碳每千</w:t>
      </w:r>
      <w:r>
        <w:rPr>
          <w:rFonts w:hint="eastAsia"/>
        </w:rPr>
        <w:t>标准</w:t>
      </w:r>
      <w:r>
        <w:t>立方米（tCO</w:t>
      </w:r>
      <w:r>
        <w:rPr>
          <w:vertAlign w:val="subscript"/>
        </w:rPr>
        <w:t>2</w:t>
      </w:r>
      <w:r>
        <w:t>/kNm</w:t>
      </w:r>
      <w:r>
        <w:rPr>
          <w:vertAlign w:val="superscript"/>
        </w:rPr>
        <w:t>3</w:t>
      </w:r>
      <w:r>
        <w:t>）；</w:t>
      </w:r>
    </w:p>
    <w:p w14:paraId="2376119D">
      <w:pPr>
        <w:pStyle w:val="173"/>
      </w:pPr>
      <w:r>
        <w:rPr>
          <w:rFonts w:hint="eastAsia"/>
        </w:rPr>
        <w:t>E</w:t>
      </w:r>
      <w:r>
        <w:t>—报告期内</w:t>
      </w:r>
      <w:r>
        <w:rPr>
          <w:rFonts w:hint="eastAsia"/>
        </w:rPr>
        <w:t>低温甲醇洗直接碳排放</w:t>
      </w:r>
      <w:r>
        <w:t>量</w:t>
      </w:r>
      <w:r>
        <w:rPr>
          <w:rFonts w:hAnsi="宋体"/>
        </w:rPr>
        <w:t>，</w:t>
      </w:r>
      <w:r>
        <w:t>单位为吨二氧化碳（tCO</w:t>
      </w:r>
      <w:r>
        <w:rPr>
          <w:vertAlign w:val="subscript"/>
        </w:rPr>
        <w:t>2</w:t>
      </w:r>
      <w:r>
        <w:t>），</w:t>
      </w:r>
      <w:r>
        <w:rPr>
          <w:rFonts w:hint="eastAsia"/>
        </w:rPr>
        <w:t>参照</w:t>
      </w:r>
      <w:r>
        <w:rPr>
          <w:rFonts w:hAnsi="宋体"/>
        </w:rPr>
        <w:t>T/CCECTA 0104附录</w:t>
      </w:r>
      <w:r>
        <w:rPr>
          <w:rFonts w:hint="eastAsia" w:hAnsi="宋体"/>
        </w:rPr>
        <w:t>B</w:t>
      </w:r>
      <w:r>
        <w:rPr>
          <w:rFonts w:hAnsi="宋体"/>
        </w:rPr>
        <w:t>计算，</w:t>
      </w:r>
      <w:r>
        <w:rPr>
          <w:rFonts w:hint="eastAsia" w:hAnsi="宋体"/>
        </w:rPr>
        <w:t>一般只包括</w:t>
      </w:r>
      <w:r>
        <w:rPr>
          <w:rFonts w:hint="eastAsia"/>
        </w:rPr>
        <w:t>E</w:t>
      </w:r>
      <w:r>
        <w:rPr>
          <w:rFonts w:hint="eastAsia"/>
          <w:vertAlign w:val="subscript"/>
        </w:rPr>
        <w:t>过程</w:t>
      </w:r>
      <w:r>
        <w:t>；</w:t>
      </w:r>
    </w:p>
    <w:p w14:paraId="09ECA115">
      <w:pPr>
        <w:pStyle w:val="173"/>
      </w:pPr>
      <w:r>
        <w:t>P—报告期内</w:t>
      </w:r>
      <w:r>
        <w:rPr>
          <w:rFonts w:hint="eastAsia"/>
        </w:rPr>
        <w:t>产品（有效合成气，</w:t>
      </w:r>
      <w:r>
        <w:rPr>
          <w:szCs w:val="21"/>
        </w:rPr>
        <w:t>CO+H</w:t>
      </w:r>
      <w:r>
        <w:rPr>
          <w:szCs w:val="21"/>
          <w:vertAlign w:val="subscript"/>
        </w:rPr>
        <w:t>2</w:t>
      </w:r>
      <w:r>
        <w:rPr>
          <w:rFonts w:hint="eastAsia"/>
        </w:rPr>
        <w:t>）</w:t>
      </w:r>
      <w:r>
        <w:t>产量，单位</w:t>
      </w:r>
      <w:r>
        <w:rPr>
          <w:rFonts w:hint="eastAsia"/>
        </w:rPr>
        <w:t>为千标准</w:t>
      </w:r>
      <w:r>
        <w:t>立方米（kNm</w:t>
      </w:r>
      <w:r>
        <w:rPr>
          <w:vertAlign w:val="superscript"/>
        </w:rPr>
        <w:t>3</w:t>
      </w:r>
      <w:r>
        <w:t>）。</w:t>
      </w:r>
    </w:p>
    <w:p w14:paraId="4CFFE163">
      <w:pPr>
        <w:pStyle w:val="131"/>
        <w:numPr>
          <w:ilvl w:val="1"/>
          <w:numId w:val="23"/>
        </w:numPr>
        <w:spacing w:beforeLines="50" w:afterLines="50"/>
        <w:ind w:left="530" w:hanging="530"/>
      </w:pPr>
      <w:r>
        <w:rPr>
          <w:rFonts w:hint="eastAsia"/>
        </w:rPr>
        <w:t>单位非甲烷总烃去除量</w:t>
      </w:r>
      <w:r>
        <w:t>碳排放量的计算</w:t>
      </w:r>
    </w:p>
    <w:p w14:paraId="74E8057B">
      <w:pPr>
        <w:pStyle w:val="173"/>
      </w:pPr>
      <w:r>
        <w:rPr>
          <w:rFonts w:hint="eastAsia"/>
        </w:rPr>
        <w:t>单位非甲烷总烃去除量</w:t>
      </w:r>
      <w:r>
        <w:t>碳排放量按式（</w:t>
      </w:r>
      <w:r>
        <w:rPr>
          <w:rFonts w:hint="eastAsia"/>
        </w:rPr>
        <w:t>2</w:t>
      </w:r>
      <w:r>
        <w:t>）计算：</w:t>
      </w:r>
    </w:p>
    <w:p w14:paraId="2A11F1E1">
      <w:pPr>
        <w:pStyle w:val="173"/>
        <w:adjustRightInd w:val="0"/>
        <w:snapToGrid w:val="0"/>
        <w:ind w:firstLine="480"/>
        <w:jc w:val="center"/>
        <w:textAlignment w:val="center"/>
      </w:pPr>
      <m:oMath>
        <m:r>
          <m:rPr/>
          <w:rPr>
            <w:rFonts w:ascii="Cambria Math" w:hAnsi="Cambria Math"/>
            <w:sz w:val="24"/>
          </w:rPr>
          <m:t>e=</m:t>
        </m:r>
        <m:f>
          <m:fPr>
            <m:ctrlPr>
              <w:rPr>
                <w:rFonts w:ascii="Cambria Math" w:hAnsi="Cambria Math"/>
                <w:i/>
                <w:sz w:val="24"/>
              </w:rPr>
            </m:ctrlPr>
          </m:fPr>
          <m:num>
            <m:r>
              <m:rPr/>
              <w:rPr>
                <w:rFonts w:ascii="Cambria Math" w:hAnsi="Cambria Math"/>
                <w:sz w:val="24"/>
              </w:rPr>
              <m:t>E</m:t>
            </m:r>
            <m:ctrlPr>
              <w:rPr>
                <w:rFonts w:ascii="Cambria Math" w:hAnsi="Cambria Math"/>
                <w:i/>
                <w:sz w:val="24"/>
              </w:rPr>
            </m:ctrlPr>
          </m:num>
          <m:den>
            <m:r>
              <m:rPr/>
              <w:rPr>
                <w:rFonts w:ascii="Cambria Math" w:hAnsi="Cambria Math"/>
                <w:sz w:val="24"/>
              </w:rPr>
              <m:t>R</m:t>
            </m:r>
            <m:ctrlPr>
              <w:rPr>
                <w:rFonts w:ascii="Cambria Math" w:hAnsi="Cambria Math"/>
                <w:i/>
                <w:sz w:val="24"/>
              </w:rPr>
            </m:ctrlPr>
          </m:den>
        </m:f>
      </m:oMath>
      <w:r>
        <w:t xml:space="preserve">           式（</w:t>
      </w:r>
      <w:r>
        <w:rPr>
          <w:rFonts w:hint="eastAsia"/>
        </w:rPr>
        <w:t>2</w:t>
      </w:r>
      <w:r>
        <w:t>）</w:t>
      </w:r>
    </w:p>
    <w:p w14:paraId="234E883A">
      <w:pPr>
        <w:pStyle w:val="173"/>
      </w:pPr>
      <w:r>
        <w:t>式中:</w:t>
      </w:r>
    </w:p>
    <w:p w14:paraId="06AB2589">
      <w:pPr>
        <w:pStyle w:val="173"/>
      </w:pPr>
      <w:r>
        <w:t>e—报告期内</w:t>
      </w:r>
      <w:r>
        <w:rPr>
          <w:rFonts w:hint="eastAsia"/>
        </w:rPr>
        <w:t>单位非甲烷总烃去除量</w:t>
      </w:r>
      <w:r>
        <w:t>碳排放量，单位为吨二氧化碳每吨</w:t>
      </w:r>
      <w:r>
        <w:rPr>
          <w:rFonts w:hint="eastAsia"/>
        </w:rPr>
        <w:t>非甲烷总烃去除量</w:t>
      </w:r>
      <w:r>
        <w:t>（tCO</w:t>
      </w:r>
      <w:r>
        <w:rPr>
          <w:vertAlign w:val="subscript"/>
        </w:rPr>
        <w:t>2</w:t>
      </w:r>
      <w:r>
        <w:t>/t</w:t>
      </w:r>
      <w:r>
        <w:rPr>
          <w:rFonts w:hint="eastAsia"/>
        </w:rPr>
        <w:t>非甲烷总烃去除量</w:t>
      </w:r>
      <w:r>
        <w:t>）；</w:t>
      </w:r>
    </w:p>
    <w:p w14:paraId="007C7F35">
      <w:pPr>
        <w:pStyle w:val="173"/>
        <w:rPr>
          <w:rFonts w:hAnsi="宋体"/>
        </w:rPr>
      </w:pPr>
      <w:r>
        <w:rPr>
          <w:rFonts w:hint="eastAsia"/>
        </w:rPr>
        <w:t>E</w:t>
      </w:r>
      <w:r>
        <w:t>—报告期内</w:t>
      </w:r>
      <w:r>
        <w:rPr>
          <w:rFonts w:hint="eastAsia"/>
        </w:rPr>
        <w:t>非甲烷总烃治理措施碳排放量</w:t>
      </w:r>
      <w:r>
        <w:t>，单位为吨二氧化碳（tCO</w:t>
      </w:r>
      <w:r>
        <w:rPr>
          <w:vertAlign w:val="subscript"/>
        </w:rPr>
        <w:t>2</w:t>
      </w:r>
      <w:r>
        <w:t>），</w:t>
      </w:r>
      <w:r>
        <w:rPr>
          <w:rFonts w:hint="eastAsia"/>
        </w:rPr>
        <w:t>参照</w:t>
      </w:r>
      <w:r>
        <w:rPr>
          <w:rFonts w:hAnsi="宋体"/>
        </w:rPr>
        <w:t>T/CCECTA 0104附录B和</w:t>
      </w:r>
      <w:r>
        <w:rPr>
          <w:rFonts w:hint="eastAsia" w:hAnsi="宋体"/>
        </w:rPr>
        <w:t>环办科技〔2017〕73号计算，对于</w:t>
      </w:r>
      <w:r>
        <w:rPr>
          <w:rFonts w:hint="eastAsia"/>
        </w:rPr>
        <w:t>脱盐水洗涤措施，</w:t>
      </w:r>
      <w:r>
        <w:rPr>
          <w:rFonts w:hint="eastAsia" w:hAnsi="宋体"/>
        </w:rPr>
        <w:t>一般只包括E</w:t>
      </w:r>
      <w:r>
        <w:rPr>
          <w:rFonts w:hint="eastAsia" w:hAnsi="宋体"/>
          <w:vertAlign w:val="subscript"/>
        </w:rPr>
        <w:t>购入电</w:t>
      </w:r>
      <w:r>
        <w:rPr>
          <w:rFonts w:hint="eastAsia" w:hAnsi="宋体"/>
        </w:rPr>
        <w:t>；对于</w:t>
      </w:r>
      <w:r>
        <w:rPr>
          <w:rFonts w:hint="eastAsia"/>
        </w:rPr>
        <w:t>蓄热式氧化炉焚烧措施和直燃式氧化炉焚烧措施，一般包括E</w:t>
      </w:r>
      <w:r>
        <w:rPr>
          <w:rFonts w:hint="eastAsia"/>
          <w:vertAlign w:val="subscript"/>
        </w:rPr>
        <w:t>燃烧</w:t>
      </w:r>
      <w:r>
        <w:rPr>
          <w:rFonts w:hint="eastAsia"/>
        </w:rPr>
        <w:t>，E</w:t>
      </w:r>
      <w:r>
        <w:rPr>
          <w:rFonts w:hint="eastAsia"/>
          <w:vertAlign w:val="subscript"/>
        </w:rPr>
        <w:t>过程</w:t>
      </w:r>
      <w:r>
        <w:rPr>
          <w:rFonts w:hint="eastAsia"/>
        </w:rPr>
        <w:t>，E</w:t>
      </w:r>
      <w:r>
        <w:rPr>
          <w:rFonts w:hint="eastAsia"/>
          <w:vertAlign w:val="subscript"/>
        </w:rPr>
        <w:t>购入电</w:t>
      </w:r>
      <w:r>
        <w:rPr>
          <w:rFonts w:hint="eastAsia"/>
        </w:rPr>
        <w:t>，E</w:t>
      </w:r>
      <w:r>
        <w:rPr>
          <w:rFonts w:hint="eastAsia"/>
          <w:vertAlign w:val="subscript"/>
        </w:rPr>
        <w:t>输出热</w:t>
      </w:r>
      <w:r>
        <w:rPr>
          <w:rFonts w:hint="eastAsia"/>
        </w:rPr>
        <w:t>；</w:t>
      </w:r>
    </w:p>
    <w:p w14:paraId="146F35C0">
      <w:pPr>
        <w:pStyle w:val="173"/>
      </w:pPr>
      <w:r>
        <w:rPr>
          <w:rFonts w:hint="eastAsia"/>
        </w:rPr>
        <w:t>R</w:t>
      </w:r>
      <w:r>
        <w:t>—报告期内</w:t>
      </w:r>
      <w:r>
        <w:rPr>
          <w:rFonts w:hint="eastAsia"/>
        </w:rPr>
        <w:t>非甲烷总烃去除量</w:t>
      </w:r>
      <w:r>
        <w:t>，单位</w:t>
      </w:r>
      <w:r>
        <w:rPr>
          <w:rFonts w:hint="eastAsia"/>
        </w:rPr>
        <w:t>为吨</w:t>
      </w:r>
      <w:r>
        <w:t>（t）。</w:t>
      </w:r>
    </w:p>
    <w:p w14:paraId="45DEA282">
      <w:pPr>
        <w:pStyle w:val="131"/>
        <w:numPr>
          <w:ilvl w:val="1"/>
          <w:numId w:val="23"/>
        </w:numPr>
        <w:spacing w:beforeLines="50" w:afterLines="50"/>
        <w:ind w:left="530" w:hanging="530"/>
      </w:pPr>
      <w:r>
        <w:rPr>
          <w:rFonts w:hint="eastAsia"/>
        </w:rPr>
        <w:t>单位浓盐水处理量</w:t>
      </w:r>
      <w:r>
        <w:t>碳排放量的计算</w:t>
      </w:r>
    </w:p>
    <w:p w14:paraId="374D9362">
      <w:pPr>
        <w:pStyle w:val="173"/>
      </w:pPr>
      <w:r>
        <w:rPr>
          <w:rFonts w:hint="eastAsia"/>
        </w:rPr>
        <w:t>单位浓盐水处理量</w:t>
      </w:r>
      <w:r>
        <w:t>碳排放量按式（</w:t>
      </w:r>
      <w:r>
        <w:rPr>
          <w:rFonts w:hint="eastAsia"/>
        </w:rPr>
        <w:t>3</w:t>
      </w:r>
      <w:r>
        <w:t>）计算：</w:t>
      </w:r>
    </w:p>
    <w:p w14:paraId="4E17480E">
      <w:pPr>
        <w:pStyle w:val="173"/>
        <w:adjustRightInd w:val="0"/>
        <w:snapToGrid w:val="0"/>
        <w:ind w:firstLine="480"/>
        <w:jc w:val="center"/>
        <w:textAlignment w:val="center"/>
      </w:pPr>
      <m:oMath>
        <m:r>
          <m:rPr/>
          <w:rPr>
            <w:rFonts w:ascii="Cambria Math" w:hAnsi="Cambria Math"/>
            <w:sz w:val="24"/>
          </w:rPr>
          <m:t>e=</m:t>
        </m:r>
        <m:f>
          <m:fPr>
            <m:ctrlPr>
              <w:rPr>
                <w:rFonts w:ascii="Cambria Math" w:hAnsi="Cambria Math"/>
                <w:i/>
                <w:sz w:val="24"/>
              </w:rPr>
            </m:ctrlPr>
          </m:fPr>
          <m:num>
            <m:r>
              <m:rPr/>
              <w:rPr>
                <w:rFonts w:ascii="Cambria Math" w:hAnsi="Cambria Math"/>
                <w:sz w:val="24"/>
              </w:rPr>
              <m:t>E</m:t>
            </m:r>
            <m:ctrlPr>
              <w:rPr>
                <w:rFonts w:ascii="Cambria Math" w:hAnsi="Cambria Math"/>
                <w:i/>
                <w:sz w:val="24"/>
              </w:rPr>
            </m:ctrlPr>
          </m:num>
          <m:den>
            <m:r>
              <m:rPr/>
              <w:rPr>
                <w:rFonts w:ascii="Cambria Math" w:hAnsi="Cambria Math"/>
                <w:sz w:val="24"/>
              </w:rPr>
              <m:t>B</m:t>
            </m:r>
            <m:ctrlPr>
              <w:rPr>
                <w:rFonts w:ascii="Cambria Math" w:hAnsi="Cambria Math"/>
                <w:i/>
                <w:sz w:val="24"/>
              </w:rPr>
            </m:ctrlPr>
          </m:den>
        </m:f>
      </m:oMath>
      <w:r>
        <w:t xml:space="preserve">           式（</w:t>
      </w:r>
      <w:r>
        <w:rPr>
          <w:rFonts w:hint="eastAsia"/>
        </w:rPr>
        <w:t>3</w:t>
      </w:r>
      <w:r>
        <w:t>）</w:t>
      </w:r>
    </w:p>
    <w:p w14:paraId="7F92160F">
      <w:pPr>
        <w:pStyle w:val="173"/>
      </w:pPr>
      <w:r>
        <w:t>式中:</w:t>
      </w:r>
    </w:p>
    <w:p w14:paraId="08797D9D">
      <w:pPr>
        <w:pStyle w:val="173"/>
      </w:pPr>
      <w:r>
        <w:t>e—报告期内</w:t>
      </w:r>
      <w:r>
        <w:rPr>
          <w:rFonts w:hint="eastAsia"/>
        </w:rPr>
        <w:t>单位浓盐水处理量</w:t>
      </w:r>
      <w:r>
        <w:t>碳排放量，单位为吨二氧化碳每吨</w:t>
      </w:r>
      <w:r>
        <w:rPr>
          <w:rFonts w:hint="eastAsia"/>
        </w:rPr>
        <w:t>浓盐水处理量</w:t>
      </w:r>
      <w:r>
        <w:t>（tCO</w:t>
      </w:r>
      <w:r>
        <w:rPr>
          <w:vertAlign w:val="subscript"/>
        </w:rPr>
        <w:t>2</w:t>
      </w:r>
      <w:r>
        <w:t>/t</w:t>
      </w:r>
      <w:r>
        <w:rPr>
          <w:rFonts w:hint="eastAsia"/>
        </w:rPr>
        <w:t>浓盐水处理量</w:t>
      </w:r>
      <w:r>
        <w:t>）；</w:t>
      </w:r>
    </w:p>
    <w:p w14:paraId="533A64F5">
      <w:pPr>
        <w:pStyle w:val="173"/>
      </w:pPr>
      <w:r>
        <w:rPr>
          <w:rFonts w:hint="eastAsia"/>
        </w:rPr>
        <w:t>E</w:t>
      </w:r>
      <w:r>
        <w:t>—报告期内</w:t>
      </w:r>
      <w:r>
        <w:rPr>
          <w:rFonts w:hint="eastAsia"/>
        </w:rPr>
        <w:t>浓盐水处理系统碳排放量，</w:t>
      </w:r>
      <w:r>
        <w:t>单位为吨二氧化碳（tCO</w:t>
      </w:r>
      <w:r>
        <w:rPr>
          <w:vertAlign w:val="subscript"/>
        </w:rPr>
        <w:t>2</w:t>
      </w:r>
      <w:r>
        <w:t>），</w:t>
      </w:r>
      <w:r>
        <w:rPr>
          <w:rFonts w:hint="eastAsia"/>
        </w:rPr>
        <w:t>参照</w:t>
      </w:r>
      <w:r>
        <w:rPr>
          <w:rFonts w:hAnsi="宋体"/>
        </w:rPr>
        <w:t>T/CCECTA 0104附录B</w:t>
      </w:r>
      <w:r>
        <w:rPr>
          <w:rFonts w:hint="eastAsia" w:hAnsi="宋体"/>
        </w:rPr>
        <w:t>和环办科技〔2017〕73号计算，</w:t>
      </w:r>
      <w:r>
        <w:rPr>
          <w:rFonts w:hint="eastAsia"/>
        </w:rPr>
        <w:t>一般包括E</w:t>
      </w:r>
      <w:r>
        <w:rPr>
          <w:rFonts w:hint="eastAsia"/>
          <w:vertAlign w:val="subscript"/>
        </w:rPr>
        <w:t>购入电</w:t>
      </w:r>
      <w:r>
        <w:rPr>
          <w:rFonts w:hint="eastAsia"/>
        </w:rPr>
        <w:t>，E</w:t>
      </w:r>
      <w:r>
        <w:rPr>
          <w:rFonts w:hint="eastAsia"/>
          <w:vertAlign w:val="subscript"/>
        </w:rPr>
        <w:t>购入热</w:t>
      </w:r>
      <w:r>
        <w:t>；</w:t>
      </w:r>
    </w:p>
    <w:p w14:paraId="62B13CD4">
      <w:pPr>
        <w:pStyle w:val="173"/>
      </w:pPr>
      <w:r>
        <w:rPr>
          <w:rFonts w:hint="eastAsia"/>
        </w:rPr>
        <w:t>B</w:t>
      </w:r>
      <w:r>
        <w:t>—报告期内</w:t>
      </w:r>
      <w:r>
        <w:rPr>
          <w:rFonts w:hint="eastAsia"/>
        </w:rPr>
        <w:t>浓盐水处理量</w:t>
      </w:r>
      <w:r>
        <w:t>，单位</w:t>
      </w:r>
      <w:r>
        <w:rPr>
          <w:rFonts w:hint="eastAsia"/>
        </w:rPr>
        <w:t>为吨</w:t>
      </w:r>
      <w:r>
        <w:t>（t）。</w:t>
      </w:r>
    </w:p>
    <w:p w14:paraId="6277D30C">
      <w:pPr>
        <w:pStyle w:val="173"/>
      </w:pPr>
    </w:p>
    <w:bookmarkEnd w:id="57"/>
    <w:bookmarkEnd w:id="58"/>
    <w:bookmarkEnd w:id="59"/>
    <w:p w14:paraId="7B5BB0AF">
      <w:pPr>
        <w:pStyle w:val="131"/>
        <w:numPr>
          <w:ilvl w:val="0"/>
          <w:numId w:val="23"/>
        </w:numPr>
        <w:spacing w:before="312" w:after="312"/>
        <w:ind w:left="0" w:firstLine="0"/>
        <w:outlineLvl w:val="0"/>
      </w:pPr>
      <w:bookmarkStart w:id="60" w:name="_Toc121175265"/>
      <w:r>
        <w:rPr>
          <w:rFonts w:hint="eastAsia"/>
        </w:rPr>
        <w:t>污染治理措施</w:t>
      </w:r>
      <w:r>
        <w:rPr>
          <w:rFonts w:hint="eastAsia"/>
          <w:szCs w:val="52"/>
        </w:rPr>
        <w:t>碳排放</w:t>
      </w:r>
      <w:r>
        <w:rPr>
          <w:rFonts w:hint="eastAsia"/>
        </w:rPr>
        <w:t>管理及措施</w:t>
      </w:r>
      <w:bookmarkEnd w:id="60"/>
    </w:p>
    <w:p w14:paraId="72E37FF3">
      <w:pPr>
        <w:pStyle w:val="25"/>
      </w:pPr>
      <w:r>
        <w:rPr>
          <w:rFonts w:hint="eastAsia"/>
          <w:szCs w:val="52"/>
        </w:rPr>
        <w:t>现代煤化工</w:t>
      </w:r>
      <w:r>
        <w:rPr>
          <w:rFonts w:hint="eastAsia"/>
        </w:rPr>
        <w:t>企业</w:t>
      </w:r>
      <w:r>
        <w:rPr>
          <w:rFonts w:hint="eastAsia"/>
          <w:szCs w:val="52"/>
        </w:rPr>
        <w:t>污染治理措施的碳排放可参照</w:t>
      </w:r>
      <w:r>
        <w:rPr>
          <w:rFonts w:hAnsi="宋体"/>
        </w:rPr>
        <w:t>T/CCECTA 0104进行</w:t>
      </w:r>
      <w:r>
        <w:rPr>
          <w:rFonts w:hint="eastAsia"/>
        </w:rPr>
        <w:t>减污</w:t>
      </w:r>
      <w:r>
        <w:t>降碳基础管理</w:t>
      </w:r>
      <w:r>
        <w:rPr>
          <w:rFonts w:hint="eastAsia"/>
        </w:rPr>
        <w:t>，并根据实际情况、考核等需求采取必要的</w:t>
      </w:r>
      <w:r>
        <w:t>降碳措施。</w:t>
      </w:r>
    </w:p>
    <w:p w14:paraId="32BFE6B2">
      <w:pPr>
        <w:pStyle w:val="25"/>
      </w:pPr>
      <w:r>
        <w:rPr>
          <w:rFonts w:hint="eastAsia"/>
        </w:rPr>
        <w:t>企业应为污染治理措施单独合理配备电、</w:t>
      </w:r>
      <w:r>
        <w:t>能源及碳排放计量器具和仪器仪表，并使计量设备处于良好状态；对基础数据进行有效的检测、度量和计算，确保</w:t>
      </w:r>
      <w:r>
        <w:rPr>
          <w:rFonts w:hint="eastAsia"/>
        </w:rPr>
        <w:t>电耗、</w:t>
      </w:r>
      <w:r>
        <w:t>能源</w:t>
      </w:r>
      <w:r>
        <w:rPr>
          <w:rFonts w:hint="eastAsia"/>
        </w:rPr>
        <w:t>消耗</w:t>
      </w:r>
      <w:r>
        <w:t>及碳排放基础数据的准确性和完整性。</w:t>
      </w:r>
    </w:p>
    <w:p w14:paraId="2801B039">
      <w:pPr>
        <w:pStyle w:val="25"/>
      </w:pPr>
    </w:p>
    <w:p w14:paraId="47D09507">
      <w:pPr>
        <w:pStyle w:val="25"/>
        <w:ind w:firstLine="0" w:firstLineChars="0"/>
        <w:jc w:val="center"/>
      </w:pPr>
      <w:r>
        <w:rPr>
          <w:b/>
        </w:rPr>
        <w:t>—————————</w:t>
      </w:r>
    </w:p>
    <w:sectPr>
      <w:footerReference r:id="rId9" w:type="default"/>
      <w:footerReference r:id="rId10" w:type="even"/>
      <w:pgSz w:w="11906" w:h="16838"/>
      <w:pgMar w:top="1440" w:right="1800" w:bottom="1440" w:left="1800" w:header="851" w:footer="992"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Helvetica">
    <w:altName w:val="Arial"/>
    <w:panose1 w:val="020B0604020202020204"/>
    <w:charset w:val="00"/>
    <w:family w:val="swiss"/>
    <w:pitch w:val="default"/>
    <w:sig w:usb0="00000000" w:usb1="00000000" w:usb2="00000000" w:usb3="00000000" w:csb0="00000001" w:csb1="00000000"/>
  </w:font>
  <w:font w:name="汉仪中宋简">
    <w:altName w:val="微软雅黑"/>
    <w:panose1 w:val="00000000000000000000"/>
    <w:charset w:val="86"/>
    <w:family w:val="auto"/>
    <w:pitch w:val="default"/>
    <w:sig w:usb0="00000000" w:usb1="00000000" w:usb2="00000002"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80F7D">
    <w:pPr>
      <w:pStyle w:val="138"/>
    </w:pPr>
    <w:r>
      <w:pict>
        <v:shape id="_x0000_s1025" o:spid="_x0000_s1025"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1597BD9">
                <w:pPr>
                  <w:pStyle w:val="138"/>
                </w:pPr>
                <w:r>
                  <w:fldChar w:fldCharType="begin"/>
                </w:r>
                <w:r>
                  <w:instrText xml:space="preserve"> PAGE  \* MERGEFORMAT </w:instrText>
                </w:r>
                <w:r>
                  <w:fldChar w:fldCharType="separate"/>
                </w:r>
                <w:r>
                  <w:t>III</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773F3">
    <w:pPr>
      <w:pStyle w:val="19"/>
    </w:pPr>
    <w:r>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0CDB7EE7">
                <w:pPr>
                  <w:pStyle w:val="19"/>
                </w:pPr>
                <w:r>
                  <w:fldChar w:fldCharType="begin"/>
                </w:r>
                <w:r>
                  <w:instrText xml:space="preserve"> PAGE  \* MERGEFORMAT </w:instrText>
                </w:r>
                <w:r>
                  <w:fldChar w:fldCharType="separate"/>
                </w:r>
                <w:r>
                  <w:t>II</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A76C9">
    <w:pPr>
      <w:pStyle w:val="19"/>
    </w:pPr>
    <w:r>
      <w:pict>
        <v:shape id="_x0000_s1027" o:spid="_x0000_s1027"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14:paraId="00272140">
                <w:pPr>
                  <w:pStyle w:val="19"/>
                </w:pPr>
                <w:r>
                  <w:fldChar w:fldCharType="begin"/>
                </w:r>
                <w:r>
                  <w:instrText xml:space="preserve"> PAGE  \* MERGEFORMAT </w:instrText>
                </w:r>
                <w:r>
                  <w:fldChar w:fldCharType="separate"/>
                </w:r>
                <w:r>
                  <w:t>I</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6C610">
    <w:pPr>
      <w:pStyle w:val="138"/>
    </w:pPr>
    <w:r>
      <w:pict>
        <v:shape id="_x0000_s1028" o:spid="_x0000_s1028"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14:paraId="33FA98F8">
                <w:pPr>
                  <w:pStyle w:val="138"/>
                </w:pPr>
              </w:p>
              <w:p w14:paraId="0DCAC77F">
                <w:pPr>
                  <w:pStyle w:val="138"/>
                </w:pPr>
                <w:r>
                  <w:fldChar w:fldCharType="begin"/>
                </w:r>
                <w:r>
                  <w:instrText xml:space="preserve"> PAGE  \* MERGEFORMAT </w:instrText>
                </w:r>
                <w:r>
                  <w:fldChar w:fldCharType="separate"/>
                </w:r>
                <w:r>
                  <w:t>5</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A6B53">
    <w:pPr>
      <w:pStyle w:val="19"/>
    </w:pPr>
    <w:r>
      <w:pict>
        <v:shape id="_x0000_s1029" o:spid="_x0000_s1029"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14:paraId="5F8E8D2A">
                <w:pPr>
                  <w:pStyle w:val="19"/>
                </w:pPr>
              </w:p>
              <w:p w14:paraId="0F0DD80C">
                <w:pPr>
                  <w:pStyle w:val="19"/>
                </w:pPr>
                <w:r>
                  <w:fldChar w:fldCharType="begin"/>
                </w:r>
                <w:r>
                  <w:instrText xml:space="preserve"> PAGE  \* MERGEFORMAT </w:instrText>
                </w:r>
                <w:r>
                  <w:fldChar w:fldCharType="separate"/>
                </w:r>
                <w:r>
                  <w:t>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C378A">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63175">
    <w:pPr>
      <w:pStyle w:val="20"/>
      <w:jc w:val="both"/>
      <w:rPr>
        <w:rFonts w:ascii="黑体" w:hAnsi="黑体" w:eastAsia="黑体" w:cs="黑体"/>
        <w:sz w:val="21"/>
        <w:szCs w:val="21"/>
        <w:lang w:val="de-D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E2278">
    <w:pPr>
      <w:pStyle w:val="20"/>
      <w:jc w:val="right"/>
      <w:rPr>
        <w:rFonts w:hAnsi="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1"/>
    <w:multiLevelType w:val="multilevel"/>
    <w:tmpl w:val="00000021"/>
    <w:lvl w:ilvl="0" w:tentative="0">
      <w:start w:val="8"/>
      <w:numFmt w:val="decimal"/>
      <w:lvlText w:val="%1"/>
      <w:lvlJc w:val="left"/>
      <w:pPr>
        <w:ind w:left="450" w:hanging="450"/>
      </w:pPr>
      <w:rPr>
        <w:rFonts w:hint="default"/>
      </w:rPr>
    </w:lvl>
    <w:lvl w:ilvl="1" w:tentative="0">
      <w:start w:val="3"/>
      <w:numFmt w:val="decimal"/>
      <w:lvlText w:val="%1.%2"/>
      <w:lvlJc w:val="left"/>
      <w:pPr>
        <w:ind w:left="450" w:hanging="450"/>
      </w:pPr>
      <w:rPr>
        <w:rFonts w:hint="default"/>
      </w:rPr>
    </w:lvl>
    <w:lvl w:ilvl="2" w:tentative="0">
      <w:start w:val="1"/>
      <w:numFmt w:val="decimal"/>
      <w:pStyle w:val="158"/>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
    <w:nsid w:val="079102AD"/>
    <w:multiLevelType w:val="multilevel"/>
    <w:tmpl w:val="079102AD"/>
    <w:lvl w:ilvl="0" w:tentative="0">
      <w:start w:val="1"/>
      <w:numFmt w:val="decimal"/>
      <w:pStyle w:val="5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57"/>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8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tentative="0">
      <w:start w:val="1"/>
      <w:numFmt w:val="lowerLetter"/>
      <w:pStyle w:val="10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13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131"/>
      <w:suff w:val="nothing"/>
      <w:lvlText w:val="%1　"/>
      <w:lvlJc w:val="left"/>
      <w:pPr>
        <w:ind w:left="1418" w:firstLine="0"/>
      </w:pPr>
      <w:rPr>
        <w:rFonts w:hint="eastAsia" w:ascii="黑体" w:hAnsi="Times New Roman" w:eastAsia="黑体"/>
        <w:b w:val="0"/>
        <w:i w:val="0"/>
        <w:sz w:val="21"/>
        <w:szCs w:val="21"/>
      </w:rPr>
    </w:lvl>
    <w:lvl w:ilvl="1" w:tentative="0">
      <w:start w:val="1"/>
      <w:numFmt w:val="decimal"/>
      <w:pStyle w:val="64"/>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3"/>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tentative="0">
      <w:start w:val="1"/>
      <w:numFmt w:val="upperLetter"/>
      <w:pStyle w:val="141"/>
      <w:suff w:val="space"/>
      <w:lvlText w:val="%1"/>
      <w:lvlJc w:val="left"/>
      <w:pPr>
        <w:ind w:left="623" w:hanging="425"/>
      </w:pPr>
      <w:rPr>
        <w:rFonts w:hint="eastAsia"/>
      </w:rPr>
    </w:lvl>
    <w:lvl w:ilvl="1" w:tentative="0">
      <w:start w:val="1"/>
      <w:numFmt w:val="decimal"/>
      <w:pStyle w:val="7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59"/>
      <w:suff w:val="nothing"/>
      <w:lvlText w:val="%1——"/>
      <w:lvlJc w:val="left"/>
      <w:pPr>
        <w:ind w:left="833" w:hanging="408"/>
      </w:pPr>
      <w:rPr>
        <w:rFonts w:hint="eastAsia"/>
      </w:rPr>
    </w:lvl>
    <w:lvl w:ilvl="1" w:tentative="0">
      <w:start w:val="1"/>
      <w:numFmt w:val="bullet"/>
      <w:pStyle w:val="135"/>
      <w:lvlText w:val=""/>
      <w:lvlJc w:val="left"/>
      <w:pPr>
        <w:tabs>
          <w:tab w:val="left" w:pos="760"/>
        </w:tabs>
        <w:ind w:left="1264" w:hanging="413"/>
      </w:pPr>
      <w:rPr>
        <w:rFonts w:hint="default" w:ascii="Symbol" w:hAnsi="Symbol"/>
        <w:color w:val="auto"/>
      </w:rPr>
    </w:lvl>
    <w:lvl w:ilvl="2" w:tentative="0">
      <w:start w:val="1"/>
      <w:numFmt w:val="bullet"/>
      <w:pStyle w:val="15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0">
      <w:start w:val="1"/>
      <w:numFmt w:val="decimal"/>
      <w:pStyle w:val="2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3FF308F8"/>
    <w:multiLevelType w:val="multilevel"/>
    <w:tmpl w:val="3FF308F8"/>
    <w:lvl w:ilvl="0" w:tentative="0">
      <w:start w:val="1"/>
      <w:numFmt w:val="decimal"/>
      <w:lvlText w:val="%1"/>
      <w:lvlJc w:val="left"/>
      <w:pPr>
        <w:ind w:left="360" w:hanging="360"/>
      </w:pPr>
      <w:rPr>
        <w:rFonts w:hint="default"/>
      </w:rPr>
    </w:lvl>
    <w:lvl w:ilvl="1" w:tentative="0">
      <w:start w:val="1"/>
      <w:numFmt w:val="decimal"/>
      <w:isLgl/>
      <w:lvlText w:val="%1.%2"/>
      <w:lvlJc w:val="left"/>
      <w:pPr>
        <w:ind w:left="530" w:hanging="530"/>
      </w:pPr>
      <w:rPr>
        <w:rFonts w:hint="default" w:ascii="黑体" w:hAnsi="黑体" w:eastAsia="黑体"/>
      </w:rPr>
    </w:lvl>
    <w:lvl w:ilvl="2" w:tentative="0">
      <w:start w:val="1"/>
      <w:numFmt w:val="decimal"/>
      <w:isLgl/>
      <w:lvlText w:val="%1.%2.%3"/>
      <w:lvlJc w:val="left"/>
      <w:pPr>
        <w:ind w:left="720" w:hanging="720"/>
      </w:pPr>
      <w:rPr>
        <w:rFonts w:hint="default" w:ascii="黑体" w:hAnsi="黑体" w:eastAsia="黑体"/>
      </w:rPr>
    </w:lvl>
    <w:lvl w:ilvl="3" w:tentative="0">
      <w:start w:val="1"/>
      <w:numFmt w:val="decimal"/>
      <w:isLgl/>
      <w:lvlText w:val="%1.%2.%3.%4"/>
      <w:lvlJc w:val="left"/>
      <w:pPr>
        <w:ind w:left="1080" w:hanging="1080"/>
      </w:pPr>
      <w:rPr>
        <w:rFonts w:hint="default" w:ascii="黑体" w:hAnsi="黑体" w:eastAsia="黑体"/>
      </w:rPr>
    </w:lvl>
    <w:lvl w:ilvl="4" w:tentative="0">
      <w:start w:val="1"/>
      <w:numFmt w:val="decimal"/>
      <w:isLgl/>
      <w:lvlText w:val="%1.%2.%3.%4.%5"/>
      <w:lvlJc w:val="left"/>
      <w:pPr>
        <w:ind w:left="1080" w:hanging="1080"/>
      </w:pPr>
      <w:rPr>
        <w:rFonts w:hint="default" w:ascii="黑体" w:hAnsi="黑体" w:eastAsia="黑体"/>
      </w:rPr>
    </w:lvl>
    <w:lvl w:ilvl="5" w:tentative="0">
      <w:start w:val="1"/>
      <w:numFmt w:val="decimal"/>
      <w:isLgl/>
      <w:lvlText w:val="%1.%2.%3.%4.%5.%6"/>
      <w:lvlJc w:val="left"/>
      <w:pPr>
        <w:ind w:left="1440" w:hanging="1440"/>
      </w:pPr>
      <w:rPr>
        <w:rFonts w:hint="default" w:ascii="黑体" w:hAnsi="黑体" w:eastAsia="黑体"/>
      </w:rPr>
    </w:lvl>
    <w:lvl w:ilvl="6" w:tentative="0">
      <w:start w:val="1"/>
      <w:numFmt w:val="decimal"/>
      <w:isLgl/>
      <w:lvlText w:val="%1.%2.%3.%4.%5.%6.%7"/>
      <w:lvlJc w:val="left"/>
      <w:pPr>
        <w:ind w:left="1440" w:hanging="1440"/>
      </w:pPr>
      <w:rPr>
        <w:rFonts w:hint="default" w:ascii="黑体" w:hAnsi="黑体" w:eastAsia="黑体"/>
      </w:rPr>
    </w:lvl>
    <w:lvl w:ilvl="7" w:tentative="0">
      <w:start w:val="1"/>
      <w:numFmt w:val="decimal"/>
      <w:isLgl/>
      <w:lvlText w:val="%1.%2.%3.%4.%5.%6.%7.%8"/>
      <w:lvlJc w:val="left"/>
      <w:pPr>
        <w:ind w:left="1800" w:hanging="1800"/>
      </w:pPr>
      <w:rPr>
        <w:rFonts w:hint="default" w:ascii="黑体" w:hAnsi="黑体" w:eastAsia="黑体"/>
      </w:rPr>
    </w:lvl>
    <w:lvl w:ilvl="8" w:tentative="0">
      <w:start w:val="1"/>
      <w:numFmt w:val="decimal"/>
      <w:isLgl/>
      <w:lvlText w:val="%1.%2.%3.%4.%5.%6.%7.%8.%9"/>
      <w:lvlJc w:val="left"/>
      <w:pPr>
        <w:ind w:left="1800" w:hanging="1800"/>
      </w:pPr>
      <w:rPr>
        <w:rFonts w:hint="default" w:ascii="黑体" w:hAnsi="黑体" w:eastAsia="黑体"/>
      </w:rPr>
    </w:lvl>
  </w:abstractNum>
  <w:abstractNum w:abstractNumId="11">
    <w:nsid w:val="44C50F90"/>
    <w:multiLevelType w:val="multilevel"/>
    <w:tmpl w:val="44C50F90"/>
    <w:lvl w:ilvl="0" w:tentative="0">
      <w:start w:val="1"/>
      <w:numFmt w:val="lowerLetter"/>
      <w:pStyle w:val="162"/>
      <w:lvlText w:val="%1)"/>
      <w:lvlJc w:val="left"/>
      <w:pPr>
        <w:tabs>
          <w:tab w:val="left" w:pos="851"/>
        </w:tabs>
        <w:ind w:left="851" w:hanging="426"/>
      </w:pPr>
      <w:rPr>
        <w:rFonts w:hint="eastAsia" w:ascii="宋体" w:hAnsi="Times New Roman" w:eastAsia="宋体"/>
        <w:sz w:val="21"/>
      </w:rPr>
    </w:lvl>
    <w:lvl w:ilvl="1" w:tentative="0">
      <w:start w:val="1"/>
      <w:numFmt w:val="decimal"/>
      <w:pStyle w:val="160"/>
      <w:lvlText w:val="%2)"/>
      <w:lvlJc w:val="left"/>
      <w:pPr>
        <w:tabs>
          <w:tab w:val="left" w:pos="1276"/>
        </w:tabs>
        <w:ind w:left="1276" w:hanging="425"/>
      </w:pPr>
      <w:rPr>
        <w:rFonts w:hint="eastAsia" w:ascii="宋体" w:hAnsi="Times New Roman" w:eastAsia="宋体"/>
        <w:sz w:val="21"/>
      </w:rPr>
    </w:lvl>
    <w:lvl w:ilvl="2" w:tentative="0">
      <w:start w:val="1"/>
      <w:numFmt w:val="decimal"/>
      <w:pStyle w:val="16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5742AF1"/>
    <w:multiLevelType w:val="multilevel"/>
    <w:tmpl w:val="45742AF1"/>
    <w:lvl w:ilvl="0" w:tentative="0">
      <w:start w:val="1"/>
      <w:numFmt w:val="lowerLetter"/>
      <w:pStyle w:val="7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81"/>
      <w:lvlText w:val="%2)"/>
      <w:lvlJc w:val="left"/>
      <w:pPr>
        <w:tabs>
          <w:tab w:val="left" w:pos="1260"/>
        </w:tabs>
        <w:ind w:left="1259" w:hanging="419"/>
      </w:pPr>
      <w:rPr>
        <w:rFonts w:hint="eastAsia"/>
      </w:rPr>
    </w:lvl>
    <w:lvl w:ilvl="2" w:tentative="0">
      <w:start w:val="1"/>
      <w:numFmt w:val="decimal"/>
      <w:pStyle w:val="70"/>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B733A5F"/>
    <w:multiLevelType w:val="multilevel"/>
    <w:tmpl w:val="4B733A5F"/>
    <w:lvl w:ilvl="0" w:tentative="0">
      <w:start w:val="1"/>
      <w:numFmt w:val="decimal"/>
      <w:pStyle w:val="13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4">
    <w:nsid w:val="4CEC45CD"/>
    <w:multiLevelType w:val="multilevel"/>
    <w:tmpl w:val="4CEC45CD"/>
    <w:lvl w:ilvl="0" w:tentative="0">
      <w:start w:val="1"/>
      <w:numFmt w:val="decimal"/>
      <w:pStyle w:val="2"/>
      <w:lvlText w:val="%1"/>
      <w:lvlJc w:val="left"/>
      <w:pPr>
        <w:tabs>
          <w:tab w:val="left" w:pos="454"/>
        </w:tabs>
        <w:ind w:left="0" w:firstLine="0"/>
      </w:pPr>
      <w:rPr>
        <w:rFonts w:hint="eastAsia"/>
      </w:rPr>
    </w:lvl>
    <w:lvl w:ilvl="1" w:tentative="0">
      <w:start w:val="1"/>
      <w:numFmt w:val="decimal"/>
      <w:pStyle w:val="3"/>
      <w:lvlText w:val="%1.%2"/>
      <w:lvlJc w:val="left"/>
      <w:pPr>
        <w:tabs>
          <w:tab w:val="left" w:pos="0"/>
        </w:tabs>
        <w:ind w:left="0" w:firstLine="0"/>
      </w:pPr>
      <w:rPr>
        <w:rFonts w:hint="eastAsia"/>
      </w:rPr>
    </w:lvl>
    <w:lvl w:ilvl="2" w:tentative="0">
      <w:start w:val="1"/>
      <w:numFmt w:val="decimal"/>
      <w:pStyle w:val="4"/>
      <w:lvlText w:val="%1.%2.%3"/>
      <w:lvlJc w:val="left"/>
      <w:pPr>
        <w:tabs>
          <w:tab w:val="left" w:pos="720"/>
        </w:tabs>
        <w:ind w:left="720" w:hanging="720"/>
      </w:pPr>
      <w:rPr>
        <w:rFonts w:hint="default" w:ascii="Times New Roman" w:hAnsi="Times New Roman" w:cs="Times New Roman"/>
      </w:rPr>
    </w:lvl>
    <w:lvl w:ilvl="3" w:tentative="0">
      <w:start w:val="1"/>
      <w:numFmt w:val="decimal"/>
      <w:lvlText w:val="%1.%2.%3.%4"/>
      <w:lvlJc w:val="left"/>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5">
    <w:nsid w:val="557C2AF5"/>
    <w:multiLevelType w:val="multilevel"/>
    <w:tmpl w:val="557C2AF5"/>
    <w:lvl w:ilvl="0" w:tentative="0">
      <w:start w:val="1"/>
      <w:numFmt w:val="decimal"/>
      <w:pStyle w:val="12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60B55DC2"/>
    <w:multiLevelType w:val="multilevel"/>
    <w:tmpl w:val="60B55DC2"/>
    <w:lvl w:ilvl="0" w:tentative="0">
      <w:start w:val="1"/>
      <w:numFmt w:val="upperLetter"/>
      <w:pStyle w:val="125"/>
      <w:lvlText w:val="%1"/>
      <w:lvlJc w:val="left"/>
      <w:pPr>
        <w:tabs>
          <w:tab w:val="left" w:pos="0"/>
        </w:tabs>
        <w:ind w:left="0" w:hanging="425"/>
      </w:pPr>
      <w:rPr>
        <w:rFonts w:hint="eastAsia"/>
      </w:rPr>
    </w:lvl>
    <w:lvl w:ilvl="1" w:tentative="0">
      <w:start w:val="1"/>
      <w:numFmt w:val="decimal"/>
      <w:pStyle w:val="93"/>
      <w:suff w:val="nothing"/>
      <w:lvlText w:val="表%1.%2　"/>
      <w:lvlJc w:val="left"/>
      <w:pPr>
        <w:ind w:left="5245"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7">
    <w:nsid w:val="60E9048F"/>
    <w:multiLevelType w:val="multilevel"/>
    <w:tmpl w:val="60E9048F"/>
    <w:lvl w:ilvl="0" w:tentative="0">
      <w:start w:val="1"/>
      <w:numFmt w:val="decimal"/>
      <w:pStyle w:val="177"/>
      <w:lvlText w:val="%1.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46260FA"/>
    <w:multiLevelType w:val="multilevel"/>
    <w:tmpl w:val="646260FA"/>
    <w:lvl w:ilvl="0" w:tentative="0">
      <w:start w:val="1"/>
      <w:numFmt w:val="decimal"/>
      <w:pStyle w:val="101"/>
      <w:suff w:val="nothing"/>
      <w:lvlText w:val="表%1　"/>
      <w:lvlJc w:val="left"/>
      <w:pPr>
        <w:ind w:left="4253" w:firstLine="0"/>
      </w:pPr>
      <w:rPr>
        <w:rFonts w:hint="eastAsia" w:ascii="黑体" w:hAnsi="Times New Roman" w:eastAsia="黑体"/>
        <w:b w:val="0"/>
        <w:i w:val="0"/>
        <w:sz w:val="21"/>
      </w:rPr>
    </w:lvl>
    <w:lvl w:ilvl="1" w:tentative="0">
      <w:start w:val="1"/>
      <w:numFmt w:val="decimal"/>
      <w:lvlText w:val="%1.%2"/>
      <w:lvlJc w:val="left"/>
      <w:pPr>
        <w:tabs>
          <w:tab w:val="left" w:pos="5245"/>
        </w:tabs>
        <w:ind w:left="5245" w:hanging="567"/>
      </w:pPr>
      <w:rPr>
        <w:rFonts w:hint="eastAsia"/>
      </w:rPr>
    </w:lvl>
    <w:lvl w:ilvl="2" w:tentative="0">
      <w:start w:val="1"/>
      <w:numFmt w:val="decimal"/>
      <w:lvlText w:val="%1.%2.%3"/>
      <w:lvlJc w:val="left"/>
      <w:pPr>
        <w:tabs>
          <w:tab w:val="left" w:pos="5671"/>
        </w:tabs>
        <w:ind w:left="5671" w:hanging="567"/>
      </w:pPr>
      <w:rPr>
        <w:rFonts w:hint="eastAsia"/>
      </w:rPr>
    </w:lvl>
    <w:lvl w:ilvl="3" w:tentative="0">
      <w:start w:val="1"/>
      <w:numFmt w:val="decimal"/>
      <w:lvlText w:val="%1.%2.%3.%4"/>
      <w:lvlJc w:val="left"/>
      <w:pPr>
        <w:tabs>
          <w:tab w:val="left" w:pos="6237"/>
        </w:tabs>
        <w:ind w:left="6237" w:hanging="708"/>
      </w:pPr>
      <w:rPr>
        <w:rFonts w:hint="eastAsia"/>
      </w:rPr>
    </w:lvl>
    <w:lvl w:ilvl="4" w:tentative="0">
      <w:start w:val="1"/>
      <w:numFmt w:val="decimal"/>
      <w:lvlText w:val="%1.%2.%3.%4.%5"/>
      <w:lvlJc w:val="left"/>
      <w:pPr>
        <w:tabs>
          <w:tab w:val="left" w:pos="6804"/>
        </w:tabs>
        <w:ind w:left="6804" w:hanging="850"/>
      </w:pPr>
      <w:rPr>
        <w:rFonts w:hint="eastAsia"/>
      </w:rPr>
    </w:lvl>
    <w:lvl w:ilvl="5" w:tentative="0">
      <w:start w:val="1"/>
      <w:numFmt w:val="decimal"/>
      <w:lvlText w:val="%1.%2.%3.%4.%5.%6"/>
      <w:lvlJc w:val="left"/>
      <w:pPr>
        <w:tabs>
          <w:tab w:val="left" w:pos="7513"/>
        </w:tabs>
        <w:ind w:left="7513" w:hanging="1134"/>
      </w:pPr>
      <w:rPr>
        <w:rFonts w:hint="eastAsia"/>
      </w:rPr>
    </w:lvl>
    <w:lvl w:ilvl="6" w:tentative="0">
      <w:start w:val="1"/>
      <w:numFmt w:val="decimal"/>
      <w:lvlText w:val="%1.%2.%3.%4.%5.%6.%7"/>
      <w:lvlJc w:val="left"/>
      <w:pPr>
        <w:tabs>
          <w:tab w:val="left" w:pos="8080"/>
        </w:tabs>
        <w:ind w:left="8080" w:hanging="1276"/>
      </w:pPr>
      <w:rPr>
        <w:rFonts w:hint="eastAsia"/>
      </w:rPr>
    </w:lvl>
    <w:lvl w:ilvl="7" w:tentative="0">
      <w:start w:val="1"/>
      <w:numFmt w:val="decimal"/>
      <w:lvlText w:val="%1.%2.%3.%4.%5.%6.%7.%8"/>
      <w:lvlJc w:val="left"/>
      <w:pPr>
        <w:tabs>
          <w:tab w:val="left" w:pos="8647"/>
        </w:tabs>
        <w:ind w:left="8647" w:hanging="1418"/>
      </w:pPr>
      <w:rPr>
        <w:rFonts w:hint="eastAsia"/>
      </w:rPr>
    </w:lvl>
    <w:lvl w:ilvl="8" w:tentative="0">
      <w:start w:val="1"/>
      <w:numFmt w:val="decimal"/>
      <w:lvlText w:val="%1.%2.%3.%4.%5.%6.%7.%8.%9"/>
      <w:lvlJc w:val="left"/>
      <w:pPr>
        <w:tabs>
          <w:tab w:val="left" w:pos="9355"/>
        </w:tabs>
        <w:ind w:left="9355" w:hanging="1700"/>
      </w:pPr>
      <w:rPr>
        <w:rFonts w:hint="eastAsia"/>
      </w:rPr>
    </w:lvl>
  </w:abstractNum>
  <w:abstractNum w:abstractNumId="19">
    <w:nsid w:val="657D3FBC"/>
    <w:multiLevelType w:val="multilevel"/>
    <w:tmpl w:val="657D3FBC"/>
    <w:lvl w:ilvl="0" w:tentative="0">
      <w:start w:val="1"/>
      <w:numFmt w:val="upperLetter"/>
      <w:pStyle w:val="10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78"/>
      <w:suff w:val="nothing"/>
      <w:lvlText w:val="%1.%2.%3.%4　"/>
      <w:lvlJc w:val="left"/>
      <w:pPr>
        <w:ind w:left="0" w:firstLine="0"/>
      </w:pPr>
      <w:rPr>
        <w:rFonts w:hint="eastAsia" w:ascii="黑体" w:hAnsi="Times New Roman" w:eastAsia="黑体"/>
        <w:b w:val="0"/>
        <w:i w:val="0"/>
        <w:sz w:val="21"/>
      </w:rPr>
    </w:lvl>
    <w:lvl w:ilvl="4" w:tentative="0">
      <w:start w:val="1"/>
      <w:numFmt w:val="decimal"/>
      <w:pStyle w:val="77"/>
      <w:suff w:val="nothing"/>
      <w:lvlText w:val="%1.%2.%3.%4.%5　"/>
      <w:lvlJc w:val="left"/>
      <w:pPr>
        <w:ind w:left="0" w:firstLine="0"/>
      </w:pPr>
      <w:rPr>
        <w:rFonts w:hint="eastAsia" w:ascii="黑体" w:hAnsi="Times New Roman" w:eastAsia="黑体"/>
        <w:b w:val="0"/>
        <w:i w:val="0"/>
        <w:sz w:val="21"/>
      </w:rPr>
    </w:lvl>
    <w:lvl w:ilvl="5" w:tentative="0">
      <w:start w:val="1"/>
      <w:numFmt w:val="decimal"/>
      <w:pStyle w:val="8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0">
    <w:nsid w:val="6CEA2025"/>
    <w:multiLevelType w:val="multilevel"/>
    <w:tmpl w:val="6CEA2025"/>
    <w:lvl w:ilvl="0" w:tentative="0">
      <w:start w:val="1"/>
      <w:numFmt w:val="none"/>
      <w:pStyle w:val="169"/>
      <w:suff w:val="nothing"/>
      <w:lvlText w:val="%1"/>
      <w:lvlJc w:val="left"/>
      <w:pPr>
        <w:ind w:left="0" w:firstLine="0"/>
      </w:pPr>
      <w:rPr>
        <w:rFonts w:hint="eastAsia"/>
      </w:rPr>
    </w:lvl>
    <w:lvl w:ilvl="1" w:tentative="0">
      <w:start w:val="1"/>
      <w:numFmt w:val="decimal"/>
      <w:pStyle w:val="167"/>
      <w:suff w:val="nothing"/>
      <w:lvlText w:val="%1%2　"/>
      <w:lvlJc w:val="left"/>
      <w:pPr>
        <w:ind w:left="0" w:firstLine="0"/>
      </w:pPr>
      <w:rPr>
        <w:rFonts w:hint="eastAsia" w:ascii="黑体" w:eastAsia="黑体"/>
        <w:b w:val="0"/>
        <w:i w:val="0"/>
        <w:sz w:val="21"/>
      </w:rPr>
    </w:lvl>
    <w:lvl w:ilvl="2" w:tentative="0">
      <w:start w:val="1"/>
      <w:numFmt w:val="decimal"/>
      <w:pStyle w:val="16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5"/>
      <w:numFmt w:val="decimal"/>
      <w:pStyle w:val="163"/>
      <w:suff w:val="nothing"/>
      <w:lvlText w:val="%1%2.%3.%4　"/>
      <w:lvlJc w:val="left"/>
      <w:pPr>
        <w:ind w:left="0" w:firstLine="0"/>
      </w:pPr>
      <w:rPr>
        <w:rFonts w:hint="eastAsia" w:ascii="黑体" w:eastAsia="黑体"/>
        <w:b w:val="0"/>
        <w:i w:val="0"/>
        <w:sz w:val="21"/>
      </w:rPr>
    </w:lvl>
    <w:lvl w:ilvl="4" w:tentative="0">
      <w:start w:val="1"/>
      <w:numFmt w:val="decimal"/>
      <w:pStyle w:val="164"/>
      <w:suff w:val="nothing"/>
      <w:lvlText w:val="%1%2.%3.%4.%5　"/>
      <w:lvlJc w:val="left"/>
      <w:pPr>
        <w:ind w:left="1134" w:firstLine="0"/>
      </w:pPr>
      <w:rPr>
        <w:rFonts w:hint="eastAsia" w:ascii="黑体" w:eastAsia="黑体"/>
        <w:b w:val="0"/>
        <w:i w:val="0"/>
        <w:sz w:val="21"/>
      </w:rPr>
    </w:lvl>
    <w:lvl w:ilvl="5" w:tentative="0">
      <w:start w:val="1"/>
      <w:numFmt w:val="decimal"/>
      <w:pStyle w:val="165"/>
      <w:suff w:val="nothing"/>
      <w:lvlText w:val="%1%2.%3.%4.%5.%6　"/>
      <w:lvlJc w:val="left"/>
      <w:pPr>
        <w:ind w:left="0" w:firstLine="0"/>
      </w:pPr>
      <w:rPr>
        <w:rFonts w:hint="eastAsia" w:ascii="黑体" w:eastAsia="黑体"/>
        <w:b w:val="0"/>
        <w:i w:val="0"/>
        <w:sz w:val="21"/>
      </w:rPr>
    </w:lvl>
    <w:lvl w:ilvl="6" w:tentative="0">
      <w:start w:val="1"/>
      <w:numFmt w:val="decimal"/>
      <w:pStyle w:val="16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1">
    <w:nsid w:val="6D6C07CD"/>
    <w:multiLevelType w:val="multilevel"/>
    <w:tmpl w:val="6D6C07CD"/>
    <w:lvl w:ilvl="0" w:tentative="0">
      <w:start w:val="1"/>
      <w:numFmt w:val="lowerLetter"/>
      <w:pStyle w:val="111"/>
      <w:lvlText w:val="%1)"/>
      <w:lvlJc w:val="left"/>
      <w:pPr>
        <w:tabs>
          <w:tab w:val="left" w:pos="839"/>
        </w:tabs>
        <w:ind w:left="839" w:hanging="419"/>
      </w:pPr>
      <w:rPr>
        <w:rFonts w:hint="eastAsia" w:ascii="宋体" w:eastAsia="宋体"/>
        <w:b w:val="0"/>
        <w:i w:val="0"/>
        <w:sz w:val="21"/>
      </w:rPr>
    </w:lvl>
    <w:lvl w:ilvl="1" w:tentative="0">
      <w:start w:val="1"/>
      <w:numFmt w:val="decimal"/>
      <w:pStyle w:val="12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2">
    <w:nsid w:val="6DBF04F4"/>
    <w:multiLevelType w:val="multilevel"/>
    <w:tmpl w:val="6DBF04F4"/>
    <w:lvl w:ilvl="0" w:tentative="0">
      <w:start w:val="1"/>
      <w:numFmt w:val="none"/>
      <w:pStyle w:val="139"/>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4"/>
  </w:num>
  <w:num w:numId="2">
    <w:abstractNumId w:val="9"/>
  </w:num>
  <w:num w:numId="3">
    <w:abstractNumId w:val="2"/>
  </w:num>
  <w:num w:numId="4">
    <w:abstractNumId w:val="1"/>
  </w:num>
  <w:num w:numId="5">
    <w:abstractNumId w:val="8"/>
  </w:num>
  <w:num w:numId="6">
    <w:abstractNumId w:val="6"/>
  </w:num>
  <w:num w:numId="7">
    <w:abstractNumId w:val="12"/>
  </w:num>
  <w:num w:numId="8">
    <w:abstractNumId w:val="7"/>
  </w:num>
  <w:num w:numId="9">
    <w:abstractNumId w:val="19"/>
  </w:num>
  <w:num w:numId="10">
    <w:abstractNumId w:val="3"/>
  </w:num>
  <w:num w:numId="11">
    <w:abstractNumId w:val="16"/>
  </w:num>
  <w:num w:numId="12">
    <w:abstractNumId w:val="18"/>
  </w:num>
  <w:num w:numId="13">
    <w:abstractNumId w:val="4"/>
  </w:num>
  <w:num w:numId="14">
    <w:abstractNumId w:val="21"/>
  </w:num>
  <w:num w:numId="15">
    <w:abstractNumId w:val="15"/>
  </w:num>
  <w:num w:numId="16">
    <w:abstractNumId w:val="5"/>
  </w:num>
  <w:num w:numId="17">
    <w:abstractNumId w:val="13"/>
  </w:num>
  <w:num w:numId="18">
    <w:abstractNumId w:val="22"/>
  </w:num>
  <w:num w:numId="19">
    <w:abstractNumId w:val="0"/>
  </w:num>
  <w:num w:numId="20">
    <w:abstractNumId w:val="11"/>
  </w:num>
  <w:num w:numId="21">
    <w:abstractNumId w:val="20"/>
  </w:num>
  <w:num w:numId="22">
    <w:abstractNumId w:val="17"/>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M5MDc5ODI1MzhiMWIxYWNkZTEzNzJjYjBkZjQwZDgifQ=="/>
  </w:docVars>
  <w:rsids>
    <w:rsidRoot w:val="00035925"/>
    <w:rsid w:val="00000244"/>
    <w:rsid w:val="0000185F"/>
    <w:rsid w:val="00002BE0"/>
    <w:rsid w:val="00004950"/>
    <w:rsid w:val="00004ECF"/>
    <w:rsid w:val="00004EF6"/>
    <w:rsid w:val="0000586F"/>
    <w:rsid w:val="00006CE3"/>
    <w:rsid w:val="00011868"/>
    <w:rsid w:val="00011A97"/>
    <w:rsid w:val="00012406"/>
    <w:rsid w:val="00012803"/>
    <w:rsid w:val="000129EE"/>
    <w:rsid w:val="00013D86"/>
    <w:rsid w:val="00013E02"/>
    <w:rsid w:val="0001424B"/>
    <w:rsid w:val="00014561"/>
    <w:rsid w:val="00020221"/>
    <w:rsid w:val="0002090F"/>
    <w:rsid w:val="0002143C"/>
    <w:rsid w:val="00021762"/>
    <w:rsid w:val="00021E8C"/>
    <w:rsid w:val="00021FF1"/>
    <w:rsid w:val="00022265"/>
    <w:rsid w:val="0002230E"/>
    <w:rsid w:val="000228BA"/>
    <w:rsid w:val="0002370A"/>
    <w:rsid w:val="00023EE0"/>
    <w:rsid w:val="00025378"/>
    <w:rsid w:val="00025A65"/>
    <w:rsid w:val="00026C31"/>
    <w:rsid w:val="00027280"/>
    <w:rsid w:val="00030935"/>
    <w:rsid w:val="00031914"/>
    <w:rsid w:val="00031A7B"/>
    <w:rsid w:val="00031B08"/>
    <w:rsid w:val="000320A7"/>
    <w:rsid w:val="00032808"/>
    <w:rsid w:val="00032B46"/>
    <w:rsid w:val="00034920"/>
    <w:rsid w:val="0003568C"/>
    <w:rsid w:val="00035925"/>
    <w:rsid w:val="00035BDF"/>
    <w:rsid w:val="00040E1E"/>
    <w:rsid w:val="0004193E"/>
    <w:rsid w:val="000419B2"/>
    <w:rsid w:val="00042276"/>
    <w:rsid w:val="00043B75"/>
    <w:rsid w:val="00047EB1"/>
    <w:rsid w:val="0005024B"/>
    <w:rsid w:val="00052CE6"/>
    <w:rsid w:val="00053F65"/>
    <w:rsid w:val="0005443F"/>
    <w:rsid w:val="00056428"/>
    <w:rsid w:val="00060FF6"/>
    <w:rsid w:val="000610AD"/>
    <w:rsid w:val="000611FF"/>
    <w:rsid w:val="0006162B"/>
    <w:rsid w:val="00062163"/>
    <w:rsid w:val="00063736"/>
    <w:rsid w:val="000638C6"/>
    <w:rsid w:val="000657F0"/>
    <w:rsid w:val="00065876"/>
    <w:rsid w:val="0006599F"/>
    <w:rsid w:val="000667C3"/>
    <w:rsid w:val="00066A12"/>
    <w:rsid w:val="00067CDF"/>
    <w:rsid w:val="00070AA0"/>
    <w:rsid w:val="0007229C"/>
    <w:rsid w:val="0007266F"/>
    <w:rsid w:val="00074FBE"/>
    <w:rsid w:val="0007562D"/>
    <w:rsid w:val="00075791"/>
    <w:rsid w:val="00080E3C"/>
    <w:rsid w:val="00081943"/>
    <w:rsid w:val="00082017"/>
    <w:rsid w:val="000835E6"/>
    <w:rsid w:val="00083A09"/>
    <w:rsid w:val="000845BC"/>
    <w:rsid w:val="000861EB"/>
    <w:rsid w:val="000867F9"/>
    <w:rsid w:val="00087ED2"/>
    <w:rsid w:val="0009005E"/>
    <w:rsid w:val="00091087"/>
    <w:rsid w:val="000915C3"/>
    <w:rsid w:val="000918F3"/>
    <w:rsid w:val="00091B7D"/>
    <w:rsid w:val="00092857"/>
    <w:rsid w:val="00092A3C"/>
    <w:rsid w:val="00096E24"/>
    <w:rsid w:val="00097A03"/>
    <w:rsid w:val="00097D7C"/>
    <w:rsid w:val="000A0E2E"/>
    <w:rsid w:val="000A15E2"/>
    <w:rsid w:val="000A1FB6"/>
    <w:rsid w:val="000A203D"/>
    <w:rsid w:val="000A204D"/>
    <w:rsid w:val="000A20A9"/>
    <w:rsid w:val="000A233F"/>
    <w:rsid w:val="000A3029"/>
    <w:rsid w:val="000A36BC"/>
    <w:rsid w:val="000A48B1"/>
    <w:rsid w:val="000A5343"/>
    <w:rsid w:val="000A62BD"/>
    <w:rsid w:val="000B07FA"/>
    <w:rsid w:val="000B0E61"/>
    <w:rsid w:val="000B1BF9"/>
    <w:rsid w:val="000B2068"/>
    <w:rsid w:val="000B22EF"/>
    <w:rsid w:val="000B30E5"/>
    <w:rsid w:val="000B3143"/>
    <w:rsid w:val="000B32DA"/>
    <w:rsid w:val="000B45C5"/>
    <w:rsid w:val="000B4C99"/>
    <w:rsid w:val="000B4EDC"/>
    <w:rsid w:val="000B5AD6"/>
    <w:rsid w:val="000B6F2D"/>
    <w:rsid w:val="000B75FB"/>
    <w:rsid w:val="000B75FE"/>
    <w:rsid w:val="000B7886"/>
    <w:rsid w:val="000C2FCB"/>
    <w:rsid w:val="000C3FE5"/>
    <w:rsid w:val="000C4389"/>
    <w:rsid w:val="000C492D"/>
    <w:rsid w:val="000C5019"/>
    <w:rsid w:val="000C5CAE"/>
    <w:rsid w:val="000C6221"/>
    <w:rsid w:val="000C6B05"/>
    <w:rsid w:val="000C6DD6"/>
    <w:rsid w:val="000C73D4"/>
    <w:rsid w:val="000C7E96"/>
    <w:rsid w:val="000D00B3"/>
    <w:rsid w:val="000D3D4C"/>
    <w:rsid w:val="000D4245"/>
    <w:rsid w:val="000D499D"/>
    <w:rsid w:val="000D4F51"/>
    <w:rsid w:val="000D52E6"/>
    <w:rsid w:val="000D5CD5"/>
    <w:rsid w:val="000D718B"/>
    <w:rsid w:val="000E0C46"/>
    <w:rsid w:val="000E16E8"/>
    <w:rsid w:val="000E397D"/>
    <w:rsid w:val="000E3FBB"/>
    <w:rsid w:val="000E3FC9"/>
    <w:rsid w:val="000E4852"/>
    <w:rsid w:val="000E488B"/>
    <w:rsid w:val="000E5950"/>
    <w:rsid w:val="000E68DE"/>
    <w:rsid w:val="000E6FAB"/>
    <w:rsid w:val="000F030C"/>
    <w:rsid w:val="000F0BAD"/>
    <w:rsid w:val="000F129C"/>
    <w:rsid w:val="000F2589"/>
    <w:rsid w:val="000F2F51"/>
    <w:rsid w:val="000F5151"/>
    <w:rsid w:val="000F563A"/>
    <w:rsid w:val="000F5843"/>
    <w:rsid w:val="000F669C"/>
    <w:rsid w:val="000F6C7E"/>
    <w:rsid w:val="000F713C"/>
    <w:rsid w:val="00100325"/>
    <w:rsid w:val="00101708"/>
    <w:rsid w:val="0010289B"/>
    <w:rsid w:val="001056DE"/>
    <w:rsid w:val="00106451"/>
    <w:rsid w:val="00106894"/>
    <w:rsid w:val="001116F6"/>
    <w:rsid w:val="001124C0"/>
    <w:rsid w:val="00112BC0"/>
    <w:rsid w:val="001136C3"/>
    <w:rsid w:val="00113EC3"/>
    <w:rsid w:val="00120374"/>
    <w:rsid w:val="0012108F"/>
    <w:rsid w:val="001216D2"/>
    <w:rsid w:val="00121C64"/>
    <w:rsid w:val="00122898"/>
    <w:rsid w:val="00124CED"/>
    <w:rsid w:val="001252A5"/>
    <w:rsid w:val="0012552F"/>
    <w:rsid w:val="00126B5B"/>
    <w:rsid w:val="001272D8"/>
    <w:rsid w:val="0013175F"/>
    <w:rsid w:val="00131A5E"/>
    <w:rsid w:val="00132019"/>
    <w:rsid w:val="00132240"/>
    <w:rsid w:val="0013316A"/>
    <w:rsid w:val="00134AD7"/>
    <w:rsid w:val="001354C8"/>
    <w:rsid w:val="00135A12"/>
    <w:rsid w:val="00136217"/>
    <w:rsid w:val="00136F70"/>
    <w:rsid w:val="001427B6"/>
    <w:rsid w:val="00142ED5"/>
    <w:rsid w:val="00144A2E"/>
    <w:rsid w:val="00144E58"/>
    <w:rsid w:val="001454E2"/>
    <w:rsid w:val="001470C4"/>
    <w:rsid w:val="001504DE"/>
    <w:rsid w:val="001512B4"/>
    <w:rsid w:val="00151685"/>
    <w:rsid w:val="0015191A"/>
    <w:rsid w:val="001560C2"/>
    <w:rsid w:val="00156C55"/>
    <w:rsid w:val="00156EE1"/>
    <w:rsid w:val="00157595"/>
    <w:rsid w:val="00157C34"/>
    <w:rsid w:val="00160D1F"/>
    <w:rsid w:val="001620A5"/>
    <w:rsid w:val="001629BE"/>
    <w:rsid w:val="00162ACA"/>
    <w:rsid w:val="00162DA8"/>
    <w:rsid w:val="00164A42"/>
    <w:rsid w:val="00164E53"/>
    <w:rsid w:val="00166954"/>
    <w:rsid w:val="0016699D"/>
    <w:rsid w:val="00166D54"/>
    <w:rsid w:val="0016796D"/>
    <w:rsid w:val="00172643"/>
    <w:rsid w:val="0017276F"/>
    <w:rsid w:val="001734DB"/>
    <w:rsid w:val="001740EC"/>
    <w:rsid w:val="0017427E"/>
    <w:rsid w:val="00174E3D"/>
    <w:rsid w:val="00175159"/>
    <w:rsid w:val="0017532C"/>
    <w:rsid w:val="00175C8C"/>
    <w:rsid w:val="00176208"/>
    <w:rsid w:val="0017657F"/>
    <w:rsid w:val="001767FB"/>
    <w:rsid w:val="001776DA"/>
    <w:rsid w:val="00177B68"/>
    <w:rsid w:val="00180E1F"/>
    <w:rsid w:val="0018211B"/>
    <w:rsid w:val="00183E26"/>
    <w:rsid w:val="001840D3"/>
    <w:rsid w:val="00184E29"/>
    <w:rsid w:val="0018553A"/>
    <w:rsid w:val="00187337"/>
    <w:rsid w:val="0019005E"/>
    <w:rsid w:val="001900F8"/>
    <w:rsid w:val="00190CED"/>
    <w:rsid w:val="00191258"/>
    <w:rsid w:val="0019141C"/>
    <w:rsid w:val="00191506"/>
    <w:rsid w:val="00191748"/>
    <w:rsid w:val="0019208D"/>
    <w:rsid w:val="001921C0"/>
    <w:rsid w:val="00192680"/>
    <w:rsid w:val="00192B5C"/>
    <w:rsid w:val="00193037"/>
    <w:rsid w:val="001936AE"/>
    <w:rsid w:val="00193808"/>
    <w:rsid w:val="00193A2C"/>
    <w:rsid w:val="00193FA6"/>
    <w:rsid w:val="0019438E"/>
    <w:rsid w:val="001969F0"/>
    <w:rsid w:val="001971F6"/>
    <w:rsid w:val="001974C1"/>
    <w:rsid w:val="001A0113"/>
    <w:rsid w:val="001A0FB5"/>
    <w:rsid w:val="001A1A36"/>
    <w:rsid w:val="001A2549"/>
    <w:rsid w:val="001A25BC"/>
    <w:rsid w:val="001A288E"/>
    <w:rsid w:val="001A4421"/>
    <w:rsid w:val="001A5424"/>
    <w:rsid w:val="001A6247"/>
    <w:rsid w:val="001A6726"/>
    <w:rsid w:val="001B05CB"/>
    <w:rsid w:val="001B1192"/>
    <w:rsid w:val="001B2985"/>
    <w:rsid w:val="001B3B71"/>
    <w:rsid w:val="001B4633"/>
    <w:rsid w:val="001B549B"/>
    <w:rsid w:val="001B5AF1"/>
    <w:rsid w:val="001B616F"/>
    <w:rsid w:val="001B6DC2"/>
    <w:rsid w:val="001B739E"/>
    <w:rsid w:val="001B7A95"/>
    <w:rsid w:val="001C023D"/>
    <w:rsid w:val="001C1367"/>
    <w:rsid w:val="001C149C"/>
    <w:rsid w:val="001C21AC"/>
    <w:rsid w:val="001C2301"/>
    <w:rsid w:val="001C2F5C"/>
    <w:rsid w:val="001C3EC4"/>
    <w:rsid w:val="001C47BA"/>
    <w:rsid w:val="001C47C7"/>
    <w:rsid w:val="001C59EA"/>
    <w:rsid w:val="001C5D02"/>
    <w:rsid w:val="001C60D5"/>
    <w:rsid w:val="001D0E84"/>
    <w:rsid w:val="001D15CA"/>
    <w:rsid w:val="001D3D35"/>
    <w:rsid w:val="001D406C"/>
    <w:rsid w:val="001D41EE"/>
    <w:rsid w:val="001D56ED"/>
    <w:rsid w:val="001D5A38"/>
    <w:rsid w:val="001D5DA2"/>
    <w:rsid w:val="001D6327"/>
    <w:rsid w:val="001E0380"/>
    <w:rsid w:val="001E13B1"/>
    <w:rsid w:val="001E1484"/>
    <w:rsid w:val="001E1A40"/>
    <w:rsid w:val="001E2082"/>
    <w:rsid w:val="001E345C"/>
    <w:rsid w:val="001E36A1"/>
    <w:rsid w:val="001E3C5B"/>
    <w:rsid w:val="001E4EA4"/>
    <w:rsid w:val="001E54E0"/>
    <w:rsid w:val="001E6328"/>
    <w:rsid w:val="001E67CA"/>
    <w:rsid w:val="001E7014"/>
    <w:rsid w:val="001E7E3C"/>
    <w:rsid w:val="001F00A3"/>
    <w:rsid w:val="001F09F1"/>
    <w:rsid w:val="001F1E9F"/>
    <w:rsid w:val="001F2574"/>
    <w:rsid w:val="001F272F"/>
    <w:rsid w:val="001F3A19"/>
    <w:rsid w:val="001F4519"/>
    <w:rsid w:val="001F55AE"/>
    <w:rsid w:val="001F561D"/>
    <w:rsid w:val="001F5E51"/>
    <w:rsid w:val="001F74C5"/>
    <w:rsid w:val="00200F41"/>
    <w:rsid w:val="00201F5E"/>
    <w:rsid w:val="00203AFF"/>
    <w:rsid w:val="002040B4"/>
    <w:rsid w:val="002053B4"/>
    <w:rsid w:val="0020590E"/>
    <w:rsid w:val="00206122"/>
    <w:rsid w:val="00206382"/>
    <w:rsid w:val="00207E64"/>
    <w:rsid w:val="00211549"/>
    <w:rsid w:val="002128A2"/>
    <w:rsid w:val="00215757"/>
    <w:rsid w:val="00216E48"/>
    <w:rsid w:val="00220C3E"/>
    <w:rsid w:val="00220CA0"/>
    <w:rsid w:val="002217EF"/>
    <w:rsid w:val="00221AFB"/>
    <w:rsid w:val="00222F27"/>
    <w:rsid w:val="0022443E"/>
    <w:rsid w:val="00230C7C"/>
    <w:rsid w:val="0023111F"/>
    <w:rsid w:val="00231356"/>
    <w:rsid w:val="002315B5"/>
    <w:rsid w:val="00232A57"/>
    <w:rsid w:val="00234467"/>
    <w:rsid w:val="00234F63"/>
    <w:rsid w:val="00235D0C"/>
    <w:rsid w:val="002376A4"/>
    <w:rsid w:val="00237D8D"/>
    <w:rsid w:val="00241DA2"/>
    <w:rsid w:val="00242CB5"/>
    <w:rsid w:val="002433B5"/>
    <w:rsid w:val="00244AE2"/>
    <w:rsid w:val="00244CED"/>
    <w:rsid w:val="002457A8"/>
    <w:rsid w:val="00247F8F"/>
    <w:rsid w:val="00247FEE"/>
    <w:rsid w:val="00250238"/>
    <w:rsid w:val="00250E7D"/>
    <w:rsid w:val="00253670"/>
    <w:rsid w:val="0025458A"/>
    <w:rsid w:val="002547DE"/>
    <w:rsid w:val="00255915"/>
    <w:rsid w:val="002565D5"/>
    <w:rsid w:val="00261A3B"/>
    <w:rsid w:val="002622C0"/>
    <w:rsid w:val="0026618A"/>
    <w:rsid w:val="00266948"/>
    <w:rsid w:val="00266F3E"/>
    <w:rsid w:val="00267403"/>
    <w:rsid w:val="002707FE"/>
    <w:rsid w:val="00270894"/>
    <w:rsid w:val="00272347"/>
    <w:rsid w:val="0027284B"/>
    <w:rsid w:val="002733B8"/>
    <w:rsid w:val="00273D1D"/>
    <w:rsid w:val="00275607"/>
    <w:rsid w:val="00276087"/>
    <w:rsid w:val="00277129"/>
    <w:rsid w:val="002778AE"/>
    <w:rsid w:val="00280FD9"/>
    <w:rsid w:val="00281D73"/>
    <w:rsid w:val="0028269A"/>
    <w:rsid w:val="00283590"/>
    <w:rsid w:val="00285018"/>
    <w:rsid w:val="002854CE"/>
    <w:rsid w:val="00285D17"/>
    <w:rsid w:val="00286335"/>
    <w:rsid w:val="0028648E"/>
    <w:rsid w:val="00286973"/>
    <w:rsid w:val="00287A74"/>
    <w:rsid w:val="00287AA8"/>
    <w:rsid w:val="0029048D"/>
    <w:rsid w:val="00291040"/>
    <w:rsid w:val="0029160F"/>
    <w:rsid w:val="00291764"/>
    <w:rsid w:val="00291DD3"/>
    <w:rsid w:val="00292C59"/>
    <w:rsid w:val="00294E70"/>
    <w:rsid w:val="002953CB"/>
    <w:rsid w:val="002969CF"/>
    <w:rsid w:val="002A1924"/>
    <w:rsid w:val="002A29B8"/>
    <w:rsid w:val="002A54C0"/>
    <w:rsid w:val="002A653C"/>
    <w:rsid w:val="002A66C1"/>
    <w:rsid w:val="002A6798"/>
    <w:rsid w:val="002A7164"/>
    <w:rsid w:val="002A7420"/>
    <w:rsid w:val="002A76A3"/>
    <w:rsid w:val="002A76EE"/>
    <w:rsid w:val="002A7FDF"/>
    <w:rsid w:val="002B0F12"/>
    <w:rsid w:val="002B1308"/>
    <w:rsid w:val="002B1819"/>
    <w:rsid w:val="002B3DA6"/>
    <w:rsid w:val="002B3E5D"/>
    <w:rsid w:val="002B4554"/>
    <w:rsid w:val="002B4E21"/>
    <w:rsid w:val="002B5861"/>
    <w:rsid w:val="002B59E5"/>
    <w:rsid w:val="002B65F1"/>
    <w:rsid w:val="002B69FE"/>
    <w:rsid w:val="002B6E1F"/>
    <w:rsid w:val="002B7FB8"/>
    <w:rsid w:val="002C01F3"/>
    <w:rsid w:val="002C04AA"/>
    <w:rsid w:val="002C04DF"/>
    <w:rsid w:val="002C1EF2"/>
    <w:rsid w:val="002C221B"/>
    <w:rsid w:val="002C2960"/>
    <w:rsid w:val="002C2C12"/>
    <w:rsid w:val="002C362F"/>
    <w:rsid w:val="002C36B9"/>
    <w:rsid w:val="002C400F"/>
    <w:rsid w:val="002C42B5"/>
    <w:rsid w:val="002C4614"/>
    <w:rsid w:val="002C5B88"/>
    <w:rsid w:val="002C72D8"/>
    <w:rsid w:val="002D052B"/>
    <w:rsid w:val="002D09C9"/>
    <w:rsid w:val="002D11FA"/>
    <w:rsid w:val="002D1A87"/>
    <w:rsid w:val="002D26AC"/>
    <w:rsid w:val="002D415F"/>
    <w:rsid w:val="002D6FE8"/>
    <w:rsid w:val="002D74F4"/>
    <w:rsid w:val="002E0DDF"/>
    <w:rsid w:val="002E2906"/>
    <w:rsid w:val="002E32FC"/>
    <w:rsid w:val="002E501D"/>
    <w:rsid w:val="002E5635"/>
    <w:rsid w:val="002E648E"/>
    <w:rsid w:val="002E64C3"/>
    <w:rsid w:val="002E665B"/>
    <w:rsid w:val="002E6A2C"/>
    <w:rsid w:val="002F0A90"/>
    <w:rsid w:val="002F1850"/>
    <w:rsid w:val="002F1D8C"/>
    <w:rsid w:val="002F21C1"/>
    <w:rsid w:val="002F21DA"/>
    <w:rsid w:val="002F2DBA"/>
    <w:rsid w:val="002F3F61"/>
    <w:rsid w:val="002F480D"/>
    <w:rsid w:val="002F5938"/>
    <w:rsid w:val="002F6C78"/>
    <w:rsid w:val="00300421"/>
    <w:rsid w:val="00301F39"/>
    <w:rsid w:val="003043F6"/>
    <w:rsid w:val="003055A7"/>
    <w:rsid w:val="00305981"/>
    <w:rsid w:val="00306431"/>
    <w:rsid w:val="003069E5"/>
    <w:rsid w:val="00306EB2"/>
    <w:rsid w:val="00312029"/>
    <w:rsid w:val="0031244C"/>
    <w:rsid w:val="00312DC1"/>
    <w:rsid w:val="00312FEB"/>
    <w:rsid w:val="00314545"/>
    <w:rsid w:val="00314CDE"/>
    <w:rsid w:val="00315DF7"/>
    <w:rsid w:val="00315FEC"/>
    <w:rsid w:val="003162F8"/>
    <w:rsid w:val="00317D30"/>
    <w:rsid w:val="003216E0"/>
    <w:rsid w:val="00323ABE"/>
    <w:rsid w:val="003244BA"/>
    <w:rsid w:val="00325926"/>
    <w:rsid w:val="00327A8A"/>
    <w:rsid w:val="00327C38"/>
    <w:rsid w:val="00327D4F"/>
    <w:rsid w:val="0033175F"/>
    <w:rsid w:val="00332185"/>
    <w:rsid w:val="00332925"/>
    <w:rsid w:val="003330F9"/>
    <w:rsid w:val="00333CFC"/>
    <w:rsid w:val="00334BF2"/>
    <w:rsid w:val="00335E40"/>
    <w:rsid w:val="00336610"/>
    <w:rsid w:val="00336823"/>
    <w:rsid w:val="00337079"/>
    <w:rsid w:val="0033720A"/>
    <w:rsid w:val="00337D32"/>
    <w:rsid w:val="00340577"/>
    <w:rsid w:val="003411D0"/>
    <w:rsid w:val="00341590"/>
    <w:rsid w:val="0034315D"/>
    <w:rsid w:val="00343F73"/>
    <w:rsid w:val="00345060"/>
    <w:rsid w:val="00345ACD"/>
    <w:rsid w:val="00345CA9"/>
    <w:rsid w:val="00346215"/>
    <w:rsid w:val="00346328"/>
    <w:rsid w:val="003507BD"/>
    <w:rsid w:val="0035099A"/>
    <w:rsid w:val="00351EBA"/>
    <w:rsid w:val="0035323B"/>
    <w:rsid w:val="003534C1"/>
    <w:rsid w:val="0035394C"/>
    <w:rsid w:val="00354A92"/>
    <w:rsid w:val="00354C26"/>
    <w:rsid w:val="00354D30"/>
    <w:rsid w:val="00354E9F"/>
    <w:rsid w:val="003551D6"/>
    <w:rsid w:val="0035549A"/>
    <w:rsid w:val="00357037"/>
    <w:rsid w:val="003573BF"/>
    <w:rsid w:val="003606D9"/>
    <w:rsid w:val="003609D2"/>
    <w:rsid w:val="00362550"/>
    <w:rsid w:val="0036287D"/>
    <w:rsid w:val="00362AAF"/>
    <w:rsid w:val="00362ACC"/>
    <w:rsid w:val="00363F22"/>
    <w:rsid w:val="0036537C"/>
    <w:rsid w:val="00365938"/>
    <w:rsid w:val="00365A21"/>
    <w:rsid w:val="003663CF"/>
    <w:rsid w:val="00367287"/>
    <w:rsid w:val="00367DC3"/>
    <w:rsid w:val="003737C5"/>
    <w:rsid w:val="00373D24"/>
    <w:rsid w:val="003749E6"/>
    <w:rsid w:val="003752E6"/>
    <w:rsid w:val="00375564"/>
    <w:rsid w:val="0037596B"/>
    <w:rsid w:val="0037635D"/>
    <w:rsid w:val="00383191"/>
    <w:rsid w:val="00383490"/>
    <w:rsid w:val="003854BC"/>
    <w:rsid w:val="00385A00"/>
    <w:rsid w:val="00385E9C"/>
    <w:rsid w:val="0038664F"/>
    <w:rsid w:val="00386DED"/>
    <w:rsid w:val="00386E44"/>
    <w:rsid w:val="00391013"/>
    <w:rsid w:val="003910DB"/>
    <w:rsid w:val="003912E7"/>
    <w:rsid w:val="0039278E"/>
    <w:rsid w:val="00393947"/>
    <w:rsid w:val="00395C3D"/>
    <w:rsid w:val="0039662B"/>
    <w:rsid w:val="00397086"/>
    <w:rsid w:val="003974FC"/>
    <w:rsid w:val="00397739"/>
    <w:rsid w:val="003A0A5D"/>
    <w:rsid w:val="003A10EA"/>
    <w:rsid w:val="003A1DD6"/>
    <w:rsid w:val="003A2275"/>
    <w:rsid w:val="003A2546"/>
    <w:rsid w:val="003A28FF"/>
    <w:rsid w:val="003A2BA3"/>
    <w:rsid w:val="003A3FFC"/>
    <w:rsid w:val="003A4E28"/>
    <w:rsid w:val="003A6A4F"/>
    <w:rsid w:val="003A7088"/>
    <w:rsid w:val="003A7CAA"/>
    <w:rsid w:val="003B00DF"/>
    <w:rsid w:val="003B04C0"/>
    <w:rsid w:val="003B0D3D"/>
    <w:rsid w:val="003B0D55"/>
    <w:rsid w:val="003B1275"/>
    <w:rsid w:val="003B1778"/>
    <w:rsid w:val="003B1FCF"/>
    <w:rsid w:val="003B3E30"/>
    <w:rsid w:val="003B4595"/>
    <w:rsid w:val="003B474D"/>
    <w:rsid w:val="003B6395"/>
    <w:rsid w:val="003B7255"/>
    <w:rsid w:val="003B7B58"/>
    <w:rsid w:val="003B7F37"/>
    <w:rsid w:val="003C0367"/>
    <w:rsid w:val="003C061A"/>
    <w:rsid w:val="003C11CB"/>
    <w:rsid w:val="003C1564"/>
    <w:rsid w:val="003C331E"/>
    <w:rsid w:val="003C4532"/>
    <w:rsid w:val="003C4EA9"/>
    <w:rsid w:val="003C64BC"/>
    <w:rsid w:val="003C6CA2"/>
    <w:rsid w:val="003C75F3"/>
    <w:rsid w:val="003C78A3"/>
    <w:rsid w:val="003C7C9B"/>
    <w:rsid w:val="003D050A"/>
    <w:rsid w:val="003D0DF5"/>
    <w:rsid w:val="003D23BE"/>
    <w:rsid w:val="003D2EAB"/>
    <w:rsid w:val="003D3A27"/>
    <w:rsid w:val="003D47E1"/>
    <w:rsid w:val="003D4A68"/>
    <w:rsid w:val="003D6764"/>
    <w:rsid w:val="003D798C"/>
    <w:rsid w:val="003E01AA"/>
    <w:rsid w:val="003E1867"/>
    <w:rsid w:val="003E1C38"/>
    <w:rsid w:val="003E373F"/>
    <w:rsid w:val="003E4606"/>
    <w:rsid w:val="003E5729"/>
    <w:rsid w:val="003E5E74"/>
    <w:rsid w:val="003F0D33"/>
    <w:rsid w:val="003F2326"/>
    <w:rsid w:val="003F2F1A"/>
    <w:rsid w:val="003F4896"/>
    <w:rsid w:val="003F4B30"/>
    <w:rsid w:val="003F4EE0"/>
    <w:rsid w:val="003F57F7"/>
    <w:rsid w:val="003F5C45"/>
    <w:rsid w:val="003F661D"/>
    <w:rsid w:val="003F6CF5"/>
    <w:rsid w:val="003F75EE"/>
    <w:rsid w:val="004002CF"/>
    <w:rsid w:val="00400C00"/>
    <w:rsid w:val="0040128E"/>
    <w:rsid w:val="0040164E"/>
    <w:rsid w:val="00402153"/>
    <w:rsid w:val="00402450"/>
    <w:rsid w:val="00402729"/>
    <w:rsid w:val="0040275B"/>
    <w:rsid w:val="00402FC1"/>
    <w:rsid w:val="004036D3"/>
    <w:rsid w:val="0040662E"/>
    <w:rsid w:val="004076F9"/>
    <w:rsid w:val="0041165C"/>
    <w:rsid w:val="00411D1D"/>
    <w:rsid w:val="00413B12"/>
    <w:rsid w:val="00414352"/>
    <w:rsid w:val="0041706C"/>
    <w:rsid w:val="0041778F"/>
    <w:rsid w:val="00417D74"/>
    <w:rsid w:val="00420F71"/>
    <w:rsid w:val="004230DB"/>
    <w:rsid w:val="004234D1"/>
    <w:rsid w:val="00425082"/>
    <w:rsid w:val="004256D2"/>
    <w:rsid w:val="004269C7"/>
    <w:rsid w:val="00426C4C"/>
    <w:rsid w:val="0042757F"/>
    <w:rsid w:val="00430783"/>
    <w:rsid w:val="00431DEB"/>
    <w:rsid w:val="00432D1E"/>
    <w:rsid w:val="00433EE0"/>
    <w:rsid w:val="00433FEF"/>
    <w:rsid w:val="004361F0"/>
    <w:rsid w:val="00437523"/>
    <w:rsid w:val="004413D5"/>
    <w:rsid w:val="0044159F"/>
    <w:rsid w:val="004418BE"/>
    <w:rsid w:val="004420C5"/>
    <w:rsid w:val="004423FA"/>
    <w:rsid w:val="00442C37"/>
    <w:rsid w:val="004430C8"/>
    <w:rsid w:val="00443CBD"/>
    <w:rsid w:val="00445C04"/>
    <w:rsid w:val="004465AB"/>
    <w:rsid w:val="00446B29"/>
    <w:rsid w:val="00447312"/>
    <w:rsid w:val="004507A9"/>
    <w:rsid w:val="004509BA"/>
    <w:rsid w:val="00450FAA"/>
    <w:rsid w:val="00452813"/>
    <w:rsid w:val="004537F4"/>
    <w:rsid w:val="00453E85"/>
    <w:rsid w:val="00453F9A"/>
    <w:rsid w:val="00456356"/>
    <w:rsid w:val="00456D0B"/>
    <w:rsid w:val="004606D4"/>
    <w:rsid w:val="00461AEF"/>
    <w:rsid w:val="004627A1"/>
    <w:rsid w:val="00462EFF"/>
    <w:rsid w:val="00463BC9"/>
    <w:rsid w:val="00464274"/>
    <w:rsid w:val="00464827"/>
    <w:rsid w:val="00465327"/>
    <w:rsid w:val="0046687D"/>
    <w:rsid w:val="00466E45"/>
    <w:rsid w:val="004712E8"/>
    <w:rsid w:val="00471E91"/>
    <w:rsid w:val="00473A59"/>
    <w:rsid w:val="00474675"/>
    <w:rsid w:val="0047470C"/>
    <w:rsid w:val="00475443"/>
    <w:rsid w:val="004758C4"/>
    <w:rsid w:val="00477BB0"/>
    <w:rsid w:val="0048007E"/>
    <w:rsid w:val="00480874"/>
    <w:rsid w:val="00481461"/>
    <w:rsid w:val="0048572A"/>
    <w:rsid w:val="004863F9"/>
    <w:rsid w:val="004867EF"/>
    <w:rsid w:val="0048742F"/>
    <w:rsid w:val="004879EB"/>
    <w:rsid w:val="0049148B"/>
    <w:rsid w:val="00493AD0"/>
    <w:rsid w:val="004964FE"/>
    <w:rsid w:val="00497426"/>
    <w:rsid w:val="004975E6"/>
    <w:rsid w:val="004A056E"/>
    <w:rsid w:val="004A1513"/>
    <w:rsid w:val="004A35F9"/>
    <w:rsid w:val="004A374F"/>
    <w:rsid w:val="004A440F"/>
    <w:rsid w:val="004A51F2"/>
    <w:rsid w:val="004A667E"/>
    <w:rsid w:val="004A6B78"/>
    <w:rsid w:val="004A7933"/>
    <w:rsid w:val="004B041C"/>
    <w:rsid w:val="004B165E"/>
    <w:rsid w:val="004B207F"/>
    <w:rsid w:val="004B230D"/>
    <w:rsid w:val="004B23D2"/>
    <w:rsid w:val="004B24C1"/>
    <w:rsid w:val="004B2717"/>
    <w:rsid w:val="004B2CB9"/>
    <w:rsid w:val="004B3091"/>
    <w:rsid w:val="004B5A83"/>
    <w:rsid w:val="004C072D"/>
    <w:rsid w:val="004C10EC"/>
    <w:rsid w:val="004C152B"/>
    <w:rsid w:val="004C292F"/>
    <w:rsid w:val="004C409E"/>
    <w:rsid w:val="004C509E"/>
    <w:rsid w:val="004C50F3"/>
    <w:rsid w:val="004C5AE8"/>
    <w:rsid w:val="004C682C"/>
    <w:rsid w:val="004C793A"/>
    <w:rsid w:val="004D0E19"/>
    <w:rsid w:val="004D14A4"/>
    <w:rsid w:val="004D1EE0"/>
    <w:rsid w:val="004D2110"/>
    <w:rsid w:val="004D292C"/>
    <w:rsid w:val="004D3BC4"/>
    <w:rsid w:val="004D46C7"/>
    <w:rsid w:val="004D4890"/>
    <w:rsid w:val="004D611F"/>
    <w:rsid w:val="004D6A7F"/>
    <w:rsid w:val="004D76E6"/>
    <w:rsid w:val="004E24E4"/>
    <w:rsid w:val="004E45B8"/>
    <w:rsid w:val="004E4855"/>
    <w:rsid w:val="004E5113"/>
    <w:rsid w:val="004E65BC"/>
    <w:rsid w:val="004E680B"/>
    <w:rsid w:val="004F0158"/>
    <w:rsid w:val="004F04CE"/>
    <w:rsid w:val="004F3A18"/>
    <w:rsid w:val="004F4729"/>
    <w:rsid w:val="004F55B5"/>
    <w:rsid w:val="004F5C35"/>
    <w:rsid w:val="004F727B"/>
    <w:rsid w:val="005008DC"/>
    <w:rsid w:val="00500E0C"/>
    <w:rsid w:val="00503E88"/>
    <w:rsid w:val="00504233"/>
    <w:rsid w:val="00504CC8"/>
    <w:rsid w:val="0050686A"/>
    <w:rsid w:val="00506A05"/>
    <w:rsid w:val="0050793A"/>
    <w:rsid w:val="00507D65"/>
    <w:rsid w:val="00510280"/>
    <w:rsid w:val="00510FAF"/>
    <w:rsid w:val="005111E0"/>
    <w:rsid w:val="00511C06"/>
    <w:rsid w:val="005132C8"/>
    <w:rsid w:val="005137F7"/>
    <w:rsid w:val="00513BB7"/>
    <w:rsid w:val="00513D73"/>
    <w:rsid w:val="00513E7B"/>
    <w:rsid w:val="0051486D"/>
    <w:rsid w:val="00514A43"/>
    <w:rsid w:val="00517437"/>
    <w:rsid w:val="005174E5"/>
    <w:rsid w:val="00517A07"/>
    <w:rsid w:val="00520CAB"/>
    <w:rsid w:val="00522393"/>
    <w:rsid w:val="00522620"/>
    <w:rsid w:val="00523D9E"/>
    <w:rsid w:val="00524615"/>
    <w:rsid w:val="00524A4B"/>
    <w:rsid w:val="00525656"/>
    <w:rsid w:val="00525767"/>
    <w:rsid w:val="0052651C"/>
    <w:rsid w:val="00526DDE"/>
    <w:rsid w:val="005270D0"/>
    <w:rsid w:val="0052719C"/>
    <w:rsid w:val="0053008C"/>
    <w:rsid w:val="00531496"/>
    <w:rsid w:val="00532DD3"/>
    <w:rsid w:val="00533B94"/>
    <w:rsid w:val="0053478B"/>
    <w:rsid w:val="00534C02"/>
    <w:rsid w:val="00535244"/>
    <w:rsid w:val="0053553D"/>
    <w:rsid w:val="005363B4"/>
    <w:rsid w:val="005374C4"/>
    <w:rsid w:val="0054264B"/>
    <w:rsid w:val="00542CAE"/>
    <w:rsid w:val="00543417"/>
    <w:rsid w:val="00543786"/>
    <w:rsid w:val="00543B6A"/>
    <w:rsid w:val="00545484"/>
    <w:rsid w:val="00545699"/>
    <w:rsid w:val="00545D6F"/>
    <w:rsid w:val="00546FC3"/>
    <w:rsid w:val="00552185"/>
    <w:rsid w:val="00552588"/>
    <w:rsid w:val="005533D7"/>
    <w:rsid w:val="005535EF"/>
    <w:rsid w:val="00553655"/>
    <w:rsid w:val="00554792"/>
    <w:rsid w:val="0055498E"/>
    <w:rsid w:val="005604C5"/>
    <w:rsid w:val="00560CEB"/>
    <w:rsid w:val="0056190D"/>
    <w:rsid w:val="00562A35"/>
    <w:rsid w:val="00563117"/>
    <w:rsid w:val="005641C1"/>
    <w:rsid w:val="0056447B"/>
    <w:rsid w:val="00564686"/>
    <w:rsid w:val="005651F1"/>
    <w:rsid w:val="00567D6C"/>
    <w:rsid w:val="005703DE"/>
    <w:rsid w:val="0057047E"/>
    <w:rsid w:val="00570D5B"/>
    <w:rsid w:val="00570EA4"/>
    <w:rsid w:val="00571446"/>
    <w:rsid w:val="0057159D"/>
    <w:rsid w:val="005727DD"/>
    <w:rsid w:val="00577A1B"/>
    <w:rsid w:val="00581297"/>
    <w:rsid w:val="005818C6"/>
    <w:rsid w:val="00582F63"/>
    <w:rsid w:val="005830DA"/>
    <w:rsid w:val="00583A97"/>
    <w:rsid w:val="0058464E"/>
    <w:rsid w:val="005865C8"/>
    <w:rsid w:val="0058691B"/>
    <w:rsid w:val="00586B79"/>
    <w:rsid w:val="00587CDF"/>
    <w:rsid w:val="0059023A"/>
    <w:rsid w:val="00592110"/>
    <w:rsid w:val="00593ED0"/>
    <w:rsid w:val="0059401B"/>
    <w:rsid w:val="00594FF4"/>
    <w:rsid w:val="00595330"/>
    <w:rsid w:val="005969C9"/>
    <w:rsid w:val="005A01CB"/>
    <w:rsid w:val="005A041E"/>
    <w:rsid w:val="005A0C00"/>
    <w:rsid w:val="005A45FB"/>
    <w:rsid w:val="005A4D51"/>
    <w:rsid w:val="005A4E0B"/>
    <w:rsid w:val="005A58FF"/>
    <w:rsid w:val="005A5EAF"/>
    <w:rsid w:val="005A5F82"/>
    <w:rsid w:val="005A618C"/>
    <w:rsid w:val="005A64C0"/>
    <w:rsid w:val="005A754D"/>
    <w:rsid w:val="005A7AC6"/>
    <w:rsid w:val="005A7B36"/>
    <w:rsid w:val="005B0031"/>
    <w:rsid w:val="005B06A1"/>
    <w:rsid w:val="005B3C11"/>
    <w:rsid w:val="005B3D71"/>
    <w:rsid w:val="005B52EA"/>
    <w:rsid w:val="005B60CC"/>
    <w:rsid w:val="005B610C"/>
    <w:rsid w:val="005B61D1"/>
    <w:rsid w:val="005B7122"/>
    <w:rsid w:val="005C0402"/>
    <w:rsid w:val="005C0645"/>
    <w:rsid w:val="005C09B7"/>
    <w:rsid w:val="005C1C28"/>
    <w:rsid w:val="005C2999"/>
    <w:rsid w:val="005C2E9C"/>
    <w:rsid w:val="005C40EE"/>
    <w:rsid w:val="005C44CA"/>
    <w:rsid w:val="005C5F68"/>
    <w:rsid w:val="005C6DB5"/>
    <w:rsid w:val="005C6FFA"/>
    <w:rsid w:val="005D0252"/>
    <w:rsid w:val="005D1A26"/>
    <w:rsid w:val="005D578F"/>
    <w:rsid w:val="005D5AD1"/>
    <w:rsid w:val="005D5EFE"/>
    <w:rsid w:val="005D632A"/>
    <w:rsid w:val="005E0110"/>
    <w:rsid w:val="005E0C45"/>
    <w:rsid w:val="005E16CD"/>
    <w:rsid w:val="005E19E7"/>
    <w:rsid w:val="005E2680"/>
    <w:rsid w:val="005E269A"/>
    <w:rsid w:val="005E37EE"/>
    <w:rsid w:val="005E3B42"/>
    <w:rsid w:val="005E5BBF"/>
    <w:rsid w:val="005F00B7"/>
    <w:rsid w:val="005F0C8D"/>
    <w:rsid w:val="005F1781"/>
    <w:rsid w:val="005F2218"/>
    <w:rsid w:val="005F36F5"/>
    <w:rsid w:val="005F38E8"/>
    <w:rsid w:val="005F5AA2"/>
    <w:rsid w:val="005F61DC"/>
    <w:rsid w:val="0060031B"/>
    <w:rsid w:val="0060070E"/>
    <w:rsid w:val="006007E0"/>
    <w:rsid w:val="00600F1A"/>
    <w:rsid w:val="006014B6"/>
    <w:rsid w:val="00602A04"/>
    <w:rsid w:val="00603B48"/>
    <w:rsid w:val="00604093"/>
    <w:rsid w:val="006054F4"/>
    <w:rsid w:val="0060591B"/>
    <w:rsid w:val="00606497"/>
    <w:rsid w:val="006076C8"/>
    <w:rsid w:val="00611C56"/>
    <w:rsid w:val="00612FF4"/>
    <w:rsid w:val="00615511"/>
    <w:rsid w:val="0061598E"/>
    <w:rsid w:val="0061716C"/>
    <w:rsid w:val="00620285"/>
    <w:rsid w:val="00622824"/>
    <w:rsid w:val="006243A1"/>
    <w:rsid w:val="00626A38"/>
    <w:rsid w:val="00627949"/>
    <w:rsid w:val="006306D9"/>
    <w:rsid w:val="00630B1B"/>
    <w:rsid w:val="00632BA0"/>
    <w:rsid w:val="00632D2B"/>
    <w:rsid w:val="00632E56"/>
    <w:rsid w:val="00633241"/>
    <w:rsid w:val="00635CBA"/>
    <w:rsid w:val="00635D3E"/>
    <w:rsid w:val="00635E8D"/>
    <w:rsid w:val="006365BA"/>
    <w:rsid w:val="006367D9"/>
    <w:rsid w:val="00637589"/>
    <w:rsid w:val="0064095D"/>
    <w:rsid w:val="00640A30"/>
    <w:rsid w:val="00640B32"/>
    <w:rsid w:val="00640DD7"/>
    <w:rsid w:val="006425FC"/>
    <w:rsid w:val="00642A66"/>
    <w:rsid w:val="0064338B"/>
    <w:rsid w:val="00643DE3"/>
    <w:rsid w:val="006458DA"/>
    <w:rsid w:val="00646542"/>
    <w:rsid w:val="00646BB7"/>
    <w:rsid w:val="00647D79"/>
    <w:rsid w:val="006504F4"/>
    <w:rsid w:val="00651087"/>
    <w:rsid w:val="0065122C"/>
    <w:rsid w:val="00652167"/>
    <w:rsid w:val="00653539"/>
    <w:rsid w:val="0065432C"/>
    <w:rsid w:val="00654BC9"/>
    <w:rsid w:val="00654C33"/>
    <w:rsid w:val="006552FD"/>
    <w:rsid w:val="00655519"/>
    <w:rsid w:val="00656E13"/>
    <w:rsid w:val="0066016D"/>
    <w:rsid w:val="006606BA"/>
    <w:rsid w:val="00661A6C"/>
    <w:rsid w:val="00661E8C"/>
    <w:rsid w:val="00662117"/>
    <w:rsid w:val="00662372"/>
    <w:rsid w:val="00663AF3"/>
    <w:rsid w:val="00664633"/>
    <w:rsid w:val="00664F7B"/>
    <w:rsid w:val="0066540C"/>
    <w:rsid w:val="00666B6C"/>
    <w:rsid w:val="00666E1C"/>
    <w:rsid w:val="00667A79"/>
    <w:rsid w:val="00670163"/>
    <w:rsid w:val="00670D2A"/>
    <w:rsid w:val="00670F1F"/>
    <w:rsid w:val="006719BF"/>
    <w:rsid w:val="006722B8"/>
    <w:rsid w:val="00673A3C"/>
    <w:rsid w:val="00673C13"/>
    <w:rsid w:val="00674BE8"/>
    <w:rsid w:val="00674DA4"/>
    <w:rsid w:val="0067565E"/>
    <w:rsid w:val="00675842"/>
    <w:rsid w:val="00676006"/>
    <w:rsid w:val="006766AB"/>
    <w:rsid w:val="00677012"/>
    <w:rsid w:val="00677957"/>
    <w:rsid w:val="00680E0F"/>
    <w:rsid w:val="006814E1"/>
    <w:rsid w:val="00681D73"/>
    <w:rsid w:val="00682171"/>
    <w:rsid w:val="00682639"/>
    <w:rsid w:val="00682682"/>
    <w:rsid w:val="00682702"/>
    <w:rsid w:val="006844C3"/>
    <w:rsid w:val="0068496B"/>
    <w:rsid w:val="00684B98"/>
    <w:rsid w:val="00685690"/>
    <w:rsid w:val="0068687E"/>
    <w:rsid w:val="0069082C"/>
    <w:rsid w:val="00690D71"/>
    <w:rsid w:val="00692368"/>
    <w:rsid w:val="00692CFD"/>
    <w:rsid w:val="006951A5"/>
    <w:rsid w:val="00695ABF"/>
    <w:rsid w:val="00696201"/>
    <w:rsid w:val="00696C8F"/>
    <w:rsid w:val="006971A8"/>
    <w:rsid w:val="006975DF"/>
    <w:rsid w:val="00697F16"/>
    <w:rsid w:val="006A25B3"/>
    <w:rsid w:val="006A2EBC"/>
    <w:rsid w:val="006A2FEA"/>
    <w:rsid w:val="006A4090"/>
    <w:rsid w:val="006A40C9"/>
    <w:rsid w:val="006A41FA"/>
    <w:rsid w:val="006A4AD5"/>
    <w:rsid w:val="006A561A"/>
    <w:rsid w:val="006A5EA0"/>
    <w:rsid w:val="006A6D7A"/>
    <w:rsid w:val="006A783B"/>
    <w:rsid w:val="006A7B33"/>
    <w:rsid w:val="006A7B47"/>
    <w:rsid w:val="006A7B85"/>
    <w:rsid w:val="006A7C39"/>
    <w:rsid w:val="006B0370"/>
    <w:rsid w:val="006B03F1"/>
    <w:rsid w:val="006B11D7"/>
    <w:rsid w:val="006B1C08"/>
    <w:rsid w:val="006B4E13"/>
    <w:rsid w:val="006B67BF"/>
    <w:rsid w:val="006B735A"/>
    <w:rsid w:val="006B75DD"/>
    <w:rsid w:val="006C3354"/>
    <w:rsid w:val="006C3EBA"/>
    <w:rsid w:val="006C3FE1"/>
    <w:rsid w:val="006C43D2"/>
    <w:rsid w:val="006C510C"/>
    <w:rsid w:val="006C67E0"/>
    <w:rsid w:val="006C6A0E"/>
    <w:rsid w:val="006C78E5"/>
    <w:rsid w:val="006C7ABA"/>
    <w:rsid w:val="006C7D62"/>
    <w:rsid w:val="006D027A"/>
    <w:rsid w:val="006D0C5D"/>
    <w:rsid w:val="006D0D60"/>
    <w:rsid w:val="006D1122"/>
    <w:rsid w:val="006D1311"/>
    <w:rsid w:val="006D365D"/>
    <w:rsid w:val="006D39E1"/>
    <w:rsid w:val="006D3C00"/>
    <w:rsid w:val="006D5470"/>
    <w:rsid w:val="006D5A8B"/>
    <w:rsid w:val="006D6960"/>
    <w:rsid w:val="006D6980"/>
    <w:rsid w:val="006E078D"/>
    <w:rsid w:val="006E2674"/>
    <w:rsid w:val="006E32B6"/>
    <w:rsid w:val="006E3675"/>
    <w:rsid w:val="006E4A7F"/>
    <w:rsid w:val="006E4E01"/>
    <w:rsid w:val="006E6108"/>
    <w:rsid w:val="006E6465"/>
    <w:rsid w:val="006F1AB4"/>
    <w:rsid w:val="006F1D4E"/>
    <w:rsid w:val="006F3E52"/>
    <w:rsid w:val="006F3E57"/>
    <w:rsid w:val="006F5CA7"/>
    <w:rsid w:val="006F5CDD"/>
    <w:rsid w:val="006F5D5A"/>
    <w:rsid w:val="007008D8"/>
    <w:rsid w:val="00701220"/>
    <w:rsid w:val="0070337F"/>
    <w:rsid w:val="00703951"/>
    <w:rsid w:val="00703A86"/>
    <w:rsid w:val="00703E29"/>
    <w:rsid w:val="00704DF6"/>
    <w:rsid w:val="0070565F"/>
    <w:rsid w:val="00705BEF"/>
    <w:rsid w:val="0070651C"/>
    <w:rsid w:val="00706815"/>
    <w:rsid w:val="0070762A"/>
    <w:rsid w:val="00710EA6"/>
    <w:rsid w:val="007118FD"/>
    <w:rsid w:val="00712466"/>
    <w:rsid w:val="00712A0E"/>
    <w:rsid w:val="007132A3"/>
    <w:rsid w:val="0071331E"/>
    <w:rsid w:val="007137DE"/>
    <w:rsid w:val="00715ADF"/>
    <w:rsid w:val="00715CED"/>
    <w:rsid w:val="007161C0"/>
    <w:rsid w:val="00716421"/>
    <w:rsid w:val="00717967"/>
    <w:rsid w:val="00717C1E"/>
    <w:rsid w:val="00721541"/>
    <w:rsid w:val="00724EFB"/>
    <w:rsid w:val="00725A0B"/>
    <w:rsid w:val="007269FA"/>
    <w:rsid w:val="00726BA1"/>
    <w:rsid w:val="0073019D"/>
    <w:rsid w:val="007336F9"/>
    <w:rsid w:val="0073456E"/>
    <w:rsid w:val="007345A7"/>
    <w:rsid w:val="00735D51"/>
    <w:rsid w:val="00737430"/>
    <w:rsid w:val="007376B8"/>
    <w:rsid w:val="007415FD"/>
    <w:rsid w:val="007419C3"/>
    <w:rsid w:val="0074209A"/>
    <w:rsid w:val="0074299E"/>
    <w:rsid w:val="00743446"/>
    <w:rsid w:val="00743B6F"/>
    <w:rsid w:val="00743C13"/>
    <w:rsid w:val="0074478E"/>
    <w:rsid w:val="00744E4A"/>
    <w:rsid w:val="00745000"/>
    <w:rsid w:val="00745231"/>
    <w:rsid w:val="0074569A"/>
    <w:rsid w:val="00745883"/>
    <w:rsid w:val="007467A7"/>
    <w:rsid w:val="007469DD"/>
    <w:rsid w:val="0074741B"/>
    <w:rsid w:val="0074759E"/>
    <w:rsid w:val="007478EA"/>
    <w:rsid w:val="00750B68"/>
    <w:rsid w:val="007521B0"/>
    <w:rsid w:val="00752517"/>
    <w:rsid w:val="0075256E"/>
    <w:rsid w:val="0075314F"/>
    <w:rsid w:val="0075346D"/>
    <w:rsid w:val="0075415C"/>
    <w:rsid w:val="00754323"/>
    <w:rsid w:val="00754778"/>
    <w:rsid w:val="00754B29"/>
    <w:rsid w:val="00754CAD"/>
    <w:rsid w:val="00756B67"/>
    <w:rsid w:val="00761986"/>
    <w:rsid w:val="007621C5"/>
    <w:rsid w:val="00763284"/>
    <w:rsid w:val="00763502"/>
    <w:rsid w:val="00765C44"/>
    <w:rsid w:val="00765C79"/>
    <w:rsid w:val="007667FD"/>
    <w:rsid w:val="00766EBA"/>
    <w:rsid w:val="00767070"/>
    <w:rsid w:val="007726F6"/>
    <w:rsid w:val="00776820"/>
    <w:rsid w:val="00776850"/>
    <w:rsid w:val="00777070"/>
    <w:rsid w:val="00777847"/>
    <w:rsid w:val="00781383"/>
    <w:rsid w:val="007817AA"/>
    <w:rsid w:val="007819C6"/>
    <w:rsid w:val="0078234E"/>
    <w:rsid w:val="007827ED"/>
    <w:rsid w:val="007828AA"/>
    <w:rsid w:val="00784192"/>
    <w:rsid w:val="00784231"/>
    <w:rsid w:val="00784762"/>
    <w:rsid w:val="00785D58"/>
    <w:rsid w:val="00787361"/>
    <w:rsid w:val="00787418"/>
    <w:rsid w:val="00790944"/>
    <w:rsid w:val="00790F77"/>
    <w:rsid w:val="007913AB"/>
    <w:rsid w:val="007914F7"/>
    <w:rsid w:val="00791BBB"/>
    <w:rsid w:val="00791FDD"/>
    <w:rsid w:val="00792142"/>
    <w:rsid w:val="007933CC"/>
    <w:rsid w:val="007937DB"/>
    <w:rsid w:val="00793DEE"/>
    <w:rsid w:val="007950AE"/>
    <w:rsid w:val="00795551"/>
    <w:rsid w:val="00795571"/>
    <w:rsid w:val="007955D8"/>
    <w:rsid w:val="00796052"/>
    <w:rsid w:val="007963B8"/>
    <w:rsid w:val="00796486"/>
    <w:rsid w:val="00797B5A"/>
    <w:rsid w:val="007A04B0"/>
    <w:rsid w:val="007A07BD"/>
    <w:rsid w:val="007A1091"/>
    <w:rsid w:val="007A2187"/>
    <w:rsid w:val="007A457B"/>
    <w:rsid w:val="007A4887"/>
    <w:rsid w:val="007A6DC6"/>
    <w:rsid w:val="007B0804"/>
    <w:rsid w:val="007B087C"/>
    <w:rsid w:val="007B0C63"/>
    <w:rsid w:val="007B11F6"/>
    <w:rsid w:val="007B1625"/>
    <w:rsid w:val="007B3E73"/>
    <w:rsid w:val="007B5032"/>
    <w:rsid w:val="007B5AC9"/>
    <w:rsid w:val="007B706E"/>
    <w:rsid w:val="007B71EB"/>
    <w:rsid w:val="007B7474"/>
    <w:rsid w:val="007C1113"/>
    <w:rsid w:val="007C3323"/>
    <w:rsid w:val="007C4155"/>
    <w:rsid w:val="007C447B"/>
    <w:rsid w:val="007C53D6"/>
    <w:rsid w:val="007C6205"/>
    <w:rsid w:val="007C63EB"/>
    <w:rsid w:val="007C686A"/>
    <w:rsid w:val="007C6D50"/>
    <w:rsid w:val="007C6DCA"/>
    <w:rsid w:val="007C716D"/>
    <w:rsid w:val="007C728E"/>
    <w:rsid w:val="007C732D"/>
    <w:rsid w:val="007D0729"/>
    <w:rsid w:val="007D1390"/>
    <w:rsid w:val="007D278F"/>
    <w:rsid w:val="007D2C53"/>
    <w:rsid w:val="007D3D60"/>
    <w:rsid w:val="007D3DB3"/>
    <w:rsid w:val="007D574B"/>
    <w:rsid w:val="007D57F8"/>
    <w:rsid w:val="007D588A"/>
    <w:rsid w:val="007D7236"/>
    <w:rsid w:val="007D74D4"/>
    <w:rsid w:val="007D7689"/>
    <w:rsid w:val="007D7F3B"/>
    <w:rsid w:val="007E07A7"/>
    <w:rsid w:val="007E0BF1"/>
    <w:rsid w:val="007E1794"/>
    <w:rsid w:val="007E185A"/>
    <w:rsid w:val="007E1980"/>
    <w:rsid w:val="007E1DE3"/>
    <w:rsid w:val="007E2104"/>
    <w:rsid w:val="007E2C7C"/>
    <w:rsid w:val="007E3445"/>
    <w:rsid w:val="007E3B0F"/>
    <w:rsid w:val="007E46E5"/>
    <w:rsid w:val="007E4B76"/>
    <w:rsid w:val="007E5AEC"/>
    <w:rsid w:val="007E5D19"/>
    <w:rsid w:val="007E5EA8"/>
    <w:rsid w:val="007E5FD1"/>
    <w:rsid w:val="007E6C2B"/>
    <w:rsid w:val="007E6E28"/>
    <w:rsid w:val="007F02B0"/>
    <w:rsid w:val="007F0303"/>
    <w:rsid w:val="007F0CD3"/>
    <w:rsid w:val="007F0CF1"/>
    <w:rsid w:val="007F12A5"/>
    <w:rsid w:val="007F1FF8"/>
    <w:rsid w:val="007F3098"/>
    <w:rsid w:val="007F46BE"/>
    <w:rsid w:val="007F4CF1"/>
    <w:rsid w:val="007F4D4C"/>
    <w:rsid w:val="007F6082"/>
    <w:rsid w:val="007F69AD"/>
    <w:rsid w:val="007F758D"/>
    <w:rsid w:val="007F7D52"/>
    <w:rsid w:val="0080150F"/>
    <w:rsid w:val="0080153A"/>
    <w:rsid w:val="00802684"/>
    <w:rsid w:val="008035F4"/>
    <w:rsid w:val="00804938"/>
    <w:rsid w:val="00805C72"/>
    <w:rsid w:val="0080654C"/>
    <w:rsid w:val="00806655"/>
    <w:rsid w:val="008071C6"/>
    <w:rsid w:val="0081000B"/>
    <w:rsid w:val="00815C09"/>
    <w:rsid w:val="00816DCE"/>
    <w:rsid w:val="00817A00"/>
    <w:rsid w:val="00820B5A"/>
    <w:rsid w:val="00822826"/>
    <w:rsid w:val="008231F0"/>
    <w:rsid w:val="00823B37"/>
    <w:rsid w:val="00824213"/>
    <w:rsid w:val="00825F54"/>
    <w:rsid w:val="008271CC"/>
    <w:rsid w:val="008302AB"/>
    <w:rsid w:val="008312D6"/>
    <w:rsid w:val="008337B1"/>
    <w:rsid w:val="00833AB1"/>
    <w:rsid w:val="00835DB3"/>
    <w:rsid w:val="0083617B"/>
    <w:rsid w:val="00836A18"/>
    <w:rsid w:val="00836B02"/>
    <w:rsid w:val="008371BD"/>
    <w:rsid w:val="00837327"/>
    <w:rsid w:val="00842074"/>
    <w:rsid w:val="0084306B"/>
    <w:rsid w:val="00845DC9"/>
    <w:rsid w:val="00846284"/>
    <w:rsid w:val="00850374"/>
    <w:rsid w:val="008504A8"/>
    <w:rsid w:val="00850BC4"/>
    <w:rsid w:val="008525FD"/>
    <w:rsid w:val="0085282E"/>
    <w:rsid w:val="00853AC6"/>
    <w:rsid w:val="008543D9"/>
    <w:rsid w:val="0085519E"/>
    <w:rsid w:val="00855A15"/>
    <w:rsid w:val="00855ED3"/>
    <w:rsid w:val="008610E8"/>
    <w:rsid w:val="008614AC"/>
    <w:rsid w:val="0086181D"/>
    <w:rsid w:val="0086197C"/>
    <w:rsid w:val="00861C64"/>
    <w:rsid w:val="00863130"/>
    <w:rsid w:val="008638BF"/>
    <w:rsid w:val="00864886"/>
    <w:rsid w:val="008653FD"/>
    <w:rsid w:val="008665DA"/>
    <w:rsid w:val="00866A78"/>
    <w:rsid w:val="00867007"/>
    <w:rsid w:val="00871049"/>
    <w:rsid w:val="0087109C"/>
    <w:rsid w:val="0087198C"/>
    <w:rsid w:val="00871A20"/>
    <w:rsid w:val="00871B6A"/>
    <w:rsid w:val="008729EE"/>
    <w:rsid w:val="00872C1F"/>
    <w:rsid w:val="00872EB8"/>
    <w:rsid w:val="00873298"/>
    <w:rsid w:val="008736FB"/>
    <w:rsid w:val="00873B2A"/>
    <w:rsid w:val="00873B42"/>
    <w:rsid w:val="008756E9"/>
    <w:rsid w:val="00876401"/>
    <w:rsid w:val="0088207C"/>
    <w:rsid w:val="008829C7"/>
    <w:rsid w:val="00884BF3"/>
    <w:rsid w:val="008856D8"/>
    <w:rsid w:val="00885822"/>
    <w:rsid w:val="008879EC"/>
    <w:rsid w:val="00890814"/>
    <w:rsid w:val="00890943"/>
    <w:rsid w:val="0089230D"/>
    <w:rsid w:val="00892E82"/>
    <w:rsid w:val="00893345"/>
    <w:rsid w:val="00894BC0"/>
    <w:rsid w:val="00894FB1"/>
    <w:rsid w:val="0089555C"/>
    <w:rsid w:val="00895FBC"/>
    <w:rsid w:val="008A012C"/>
    <w:rsid w:val="008A4860"/>
    <w:rsid w:val="008A6AC4"/>
    <w:rsid w:val="008B0DA3"/>
    <w:rsid w:val="008B28AC"/>
    <w:rsid w:val="008B3493"/>
    <w:rsid w:val="008B42B5"/>
    <w:rsid w:val="008B4E96"/>
    <w:rsid w:val="008B57DF"/>
    <w:rsid w:val="008B677C"/>
    <w:rsid w:val="008C038B"/>
    <w:rsid w:val="008C063D"/>
    <w:rsid w:val="008C19B1"/>
    <w:rsid w:val="008C1B58"/>
    <w:rsid w:val="008C217C"/>
    <w:rsid w:val="008C2528"/>
    <w:rsid w:val="008C307F"/>
    <w:rsid w:val="008C355E"/>
    <w:rsid w:val="008C378C"/>
    <w:rsid w:val="008C37DE"/>
    <w:rsid w:val="008C39AE"/>
    <w:rsid w:val="008C3B46"/>
    <w:rsid w:val="008C3CFF"/>
    <w:rsid w:val="008C49B8"/>
    <w:rsid w:val="008C590D"/>
    <w:rsid w:val="008C5C24"/>
    <w:rsid w:val="008C6593"/>
    <w:rsid w:val="008C7B67"/>
    <w:rsid w:val="008D107B"/>
    <w:rsid w:val="008D13B5"/>
    <w:rsid w:val="008D1618"/>
    <w:rsid w:val="008D4920"/>
    <w:rsid w:val="008D4EB2"/>
    <w:rsid w:val="008D65CD"/>
    <w:rsid w:val="008E031B"/>
    <w:rsid w:val="008E0464"/>
    <w:rsid w:val="008E0E0E"/>
    <w:rsid w:val="008E2623"/>
    <w:rsid w:val="008E29EE"/>
    <w:rsid w:val="008E2C4B"/>
    <w:rsid w:val="008E3D87"/>
    <w:rsid w:val="008E5C5E"/>
    <w:rsid w:val="008E5EC8"/>
    <w:rsid w:val="008E648B"/>
    <w:rsid w:val="008E7029"/>
    <w:rsid w:val="008E7EF6"/>
    <w:rsid w:val="008F074B"/>
    <w:rsid w:val="008F0D79"/>
    <w:rsid w:val="008F0FB9"/>
    <w:rsid w:val="008F1F98"/>
    <w:rsid w:val="008F4BF6"/>
    <w:rsid w:val="008F5025"/>
    <w:rsid w:val="008F64D8"/>
    <w:rsid w:val="008F6758"/>
    <w:rsid w:val="008F7AD5"/>
    <w:rsid w:val="00900093"/>
    <w:rsid w:val="0090156C"/>
    <w:rsid w:val="009040DD"/>
    <w:rsid w:val="00904106"/>
    <w:rsid w:val="0090583D"/>
    <w:rsid w:val="00905B47"/>
    <w:rsid w:val="00911A7B"/>
    <w:rsid w:val="00912335"/>
    <w:rsid w:val="00912FD9"/>
    <w:rsid w:val="0091331C"/>
    <w:rsid w:val="00913512"/>
    <w:rsid w:val="00916464"/>
    <w:rsid w:val="00921E1E"/>
    <w:rsid w:val="00922824"/>
    <w:rsid w:val="00922E05"/>
    <w:rsid w:val="00922E48"/>
    <w:rsid w:val="009244B4"/>
    <w:rsid w:val="009268E0"/>
    <w:rsid w:val="00927348"/>
    <w:rsid w:val="009279DE"/>
    <w:rsid w:val="00927E6E"/>
    <w:rsid w:val="00930032"/>
    <w:rsid w:val="00930116"/>
    <w:rsid w:val="00930A25"/>
    <w:rsid w:val="00930ED1"/>
    <w:rsid w:val="009314D5"/>
    <w:rsid w:val="00932066"/>
    <w:rsid w:val="0093346B"/>
    <w:rsid w:val="00934154"/>
    <w:rsid w:val="00934604"/>
    <w:rsid w:val="0093530D"/>
    <w:rsid w:val="009374B6"/>
    <w:rsid w:val="00937E40"/>
    <w:rsid w:val="009401D6"/>
    <w:rsid w:val="00940260"/>
    <w:rsid w:val="00940535"/>
    <w:rsid w:val="00940A65"/>
    <w:rsid w:val="00941220"/>
    <w:rsid w:val="00941442"/>
    <w:rsid w:val="00941586"/>
    <w:rsid w:val="00941B20"/>
    <w:rsid w:val="0094212C"/>
    <w:rsid w:val="00945279"/>
    <w:rsid w:val="00947EFF"/>
    <w:rsid w:val="009507DD"/>
    <w:rsid w:val="00950E41"/>
    <w:rsid w:val="00951ADF"/>
    <w:rsid w:val="00952116"/>
    <w:rsid w:val="00952949"/>
    <w:rsid w:val="00954689"/>
    <w:rsid w:val="00954CD4"/>
    <w:rsid w:val="00955B9F"/>
    <w:rsid w:val="00956ED7"/>
    <w:rsid w:val="00956EE5"/>
    <w:rsid w:val="0095761B"/>
    <w:rsid w:val="00957E58"/>
    <w:rsid w:val="009617C9"/>
    <w:rsid w:val="00961C93"/>
    <w:rsid w:val="00965021"/>
    <w:rsid w:val="00965324"/>
    <w:rsid w:val="00965742"/>
    <w:rsid w:val="00966075"/>
    <w:rsid w:val="009662C8"/>
    <w:rsid w:val="00966EDF"/>
    <w:rsid w:val="0096723C"/>
    <w:rsid w:val="00967B52"/>
    <w:rsid w:val="00967D58"/>
    <w:rsid w:val="0097091E"/>
    <w:rsid w:val="00970DDD"/>
    <w:rsid w:val="00971DEA"/>
    <w:rsid w:val="009727DD"/>
    <w:rsid w:val="00972FC9"/>
    <w:rsid w:val="0097447F"/>
    <w:rsid w:val="00974A67"/>
    <w:rsid w:val="00975A1F"/>
    <w:rsid w:val="00975CDF"/>
    <w:rsid w:val="009760D3"/>
    <w:rsid w:val="00976DE6"/>
    <w:rsid w:val="00976E92"/>
    <w:rsid w:val="00977132"/>
    <w:rsid w:val="009779E7"/>
    <w:rsid w:val="00977C9C"/>
    <w:rsid w:val="009818C1"/>
    <w:rsid w:val="00981A4B"/>
    <w:rsid w:val="00982501"/>
    <w:rsid w:val="009826AD"/>
    <w:rsid w:val="00982C7A"/>
    <w:rsid w:val="00983D1C"/>
    <w:rsid w:val="00983DA8"/>
    <w:rsid w:val="00985D0B"/>
    <w:rsid w:val="00986553"/>
    <w:rsid w:val="00986635"/>
    <w:rsid w:val="00986CA9"/>
    <w:rsid w:val="00986CF3"/>
    <w:rsid w:val="009877D3"/>
    <w:rsid w:val="00987C89"/>
    <w:rsid w:val="0099086A"/>
    <w:rsid w:val="00991D07"/>
    <w:rsid w:val="00993A9D"/>
    <w:rsid w:val="00994E8F"/>
    <w:rsid w:val="009951DC"/>
    <w:rsid w:val="0099548B"/>
    <w:rsid w:val="009959BB"/>
    <w:rsid w:val="00997158"/>
    <w:rsid w:val="009973A6"/>
    <w:rsid w:val="009A0E9C"/>
    <w:rsid w:val="009A3A7C"/>
    <w:rsid w:val="009A6AF4"/>
    <w:rsid w:val="009A7ED1"/>
    <w:rsid w:val="009B288B"/>
    <w:rsid w:val="009B2ADB"/>
    <w:rsid w:val="009B402C"/>
    <w:rsid w:val="009B43FB"/>
    <w:rsid w:val="009B4EAE"/>
    <w:rsid w:val="009B5081"/>
    <w:rsid w:val="009B603A"/>
    <w:rsid w:val="009B63F7"/>
    <w:rsid w:val="009B664F"/>
    <w:rsid w:val="009B75D9"/>
    <w:rsid w:val="009B77EC"/>
    <w:rsid w:val="009B7EA5"/>
    <w:rsid w:val="009C2D0E"/>
    <w:rsid w:val="009C3DAC"/>
    <w:rsid w:val="009C42E0"/>
    <w:rsid w:val="009C439B"/>
    <w:rsid w:val="009C65F7"/>
    <w:rsid w:val="009C6FB9"/>
    <w:rsid w:val="009D0921"/>
    <w:rsid w:val="009D0D20"/>
    <w:rsid w:val="009D1C8E"/>
    <w:rsid w:val="009D2CD7"/>
    <w:rsid w:val="009D39BF"/>
    <w:rsid w:val="009D4FD6"/>
    <w:rsid w:val="009D5362"/>
    <w:rsid w:val="009D56CE"/>
    <w:rsid w:val="009D5C78"/>
    <w:rsid w:val="009E0862"/>
    <w:rsid w:val="009E1415"/>
    <w:rsid w:val="009E3768"/>
    <w:rsid w:val="009E480B"/>
    <w:rsid w:val="009E6116"/>
    <w:rsid w:val="009E619D"/>
    <w:rsid w:val="009F008A"/>
    <w:rsid w:val="009F0296"/>
    <w:rsid w:val="009F2B57"/>
    <w:rsid w:val="009F2FD6"/>
    <w:rsid w:val="009F36FF"/>
    <w:rsid w:val="009F3EF0"/>
    <w:rsid w:val="009F4D2E"/>
    <w:rsid w:val="009F636F"/>
    <w:rsid w:val="009F6CD7"/>
    <w:rsid w:val="009F74A7"/>
    <w:rsid w:val="00A002A3"/>
    <w:rsid w:val="00A00B12"/>
    <w:rsid w:val="00A00BE7"/>
    <w:rsid w:val="00A00BF6"/>
    <w:rsid w:val="00A00C5B"/>
    <w:rsid w:val="00A00F15"/>
    <w:rsid w:val="00A0145E"/>
    <w:rsid w:val="00A02A44"/>
    <w:rsid w:val="00A02E43"/>
    <w:rsid w:val="00A03319"/>
    <w:rsid w:val="00A03DA0"/>
    <w:rsid w:val="00A05124"/>
    <w:rsid w:val="00A058B5"/>
    <w:rsid w:val="00A0598F"/>
    <w:rsid w:val="00A065F9"/>
    <w:rsid w:val="00A06DA4"/>
    <w:rsid w:val="00A075A7"/>
    <w:rsid w:val="00A07ACB"/>
    <w:rsid w:val="00A07F34"/>
    <w:rsid w:val="00A110AB"/>
    <w:rsid w:val="00A123BB"/>
    <w:rsid w:val="00A20A2D"/>
    <w:rsid w:val="00A20C8F"/>
    <w:rsid w:val="00A214AF"/>
    <w:rsid w:val="00A2201D"/>
    <w:rsid w:val="00A22154"/>
    <w:rsid w:val="00A221C5"/>
    <w:rsid w:val="00A230DE"/>
    <w:rsid w:val="00A2499D"/>
    <w:rsid w:val="00A25C38"/>
    <w:rsid w:val="00A25DEC"/>
    <w:rsid w:val="00A26118"/>
    <w:rsid w:val="00A276C9"/>
    <w:rsid w:val="00A30297"/>
    <w:rsid w:val="00A30C54"/>
    <w:rsid w:val="00A30D23"/>
    <w:rsid w:val="00A31289"/>
    <w:rsid w:val="00A32707"/>
    <w:rsid w:val="00A32EAA"/>
    <w:rsid w:val="00A34B50"/>
    <w:rsid w:val="00A350B2"/>
    <w:rsid w:val="00A35466"/>
    <w:rsid w:val="00A36003"/>
    <w:rsid w:val="00A36044"/>
    <w:rsid w:val="00A36BBE"/>
    <w:rsid w:val="00A36E93"/>
    <w:rsid w:val="00A36EE1"/>
    <w:rsid w:val="00A37CB1"/>
    <w:rsid w:val="00A400F0"/>
    <w:rsid w:val="00A40466"/>
    <w:rsid w:val="00A40766"/>
    <w:rsid w:val="00A41C98"/>
    <w:rsid w:val="00A42D36"/>
    <w:rsid w:val="00A42EA8"/>
    <w:rsid w:val="00A4307A"/>
    <w:rsid w:val="00A439E3"/>
    <w:rsid w:val="00A44510"/>
    <w:rsid w:val="00A44FA8"/>
    <w:rsid w:val="00A4531A"/>
    <w:rsid w:val="00A46917"/>
    <w:rsid w:val="00A4702C"/>
    <w:rsid w:val="00A47464"/>
    <w:rsid w:val="00A47EBB"/>
    <w:rsid w:val="00A51CDD"/>
    <w:rsid w:val="00A52C4F"/>
    <w:rsid w:val="00A536C5"/>
    <w:rsid w:val="00A538E6"/>
    <w:rsid w:val="00A5394D"/>
    <w:rsid w:val="00A55454"/>
    <w:rsid w:val="00A566DC"/>
    <w:rsid w:val="00A56E50"/>
    <w:rsid w:val="00A60062"/>
    <w:rsid w:val="00A60EFF"/>
    <w:rsid w:val="00A61FE6"/>
    <w:rsid w:val="00A6218A"/>
    <w:rsid w:val="00A6240A"/>
    <w:rsid w:val="00A628C1"/>
    <w:rsid w:val="00A63409"/>
    <w:rsid w:val="00A636BE"/>
    <w:rsid w:val="00A6495B"/>
    <w:rsid w:val="00A6620B"/>
    <w:rsid w:val="00A66E9D"/>
    <w:rsid w:val="00A671B9"/>
    <w:rsid w:val="00A6730D"/>
    <w:rsid w:val="00A67583"/>
    <w:rsid w:val="00A67E89"/>
    <w:rsid w:val="00A71625"/>
    <w:rsid w:val="00A71B9B"/>
    <w:rsid w:val="00A71C10"/>
    <w:rsid w:val="00A7457A"/>
    <w:rsid w:val="00A7468C"/>
    <w:rsid w:val="00A751C7"/>
    <w:rsid w:val="00A752FC"/>
    <w:rsid w:val="00A7552B"/>
    <w:rsid w:val="00A7664E"/>
    <w:rsid w:val="00A76693"/>
    <w:rsid w:val="00A77125"/>
    <w:rsid w:val="00A80D43"/>
    <w:rsid w:val="00A80DCB"/>
    <w:rsid w:val="00A80F3A"/>
    <w:rsid w:val="00A81402"/>
    <w:rsid w:val="00A8210F"/>
    <w:rsid w:val="00A825E0"/>
    <w:rsid w:val="00A84A87"/>
    <w:rsid w:val="00A8619F"/>
    <w:rsid w:val="00A86A89"/>
    <w:rsid w:val="00A87436"/>
    <w:rsid w:val="00A876B4"/>
    <w:rsid w:val="00A87844"/>
    <w:rsid w:val="00A904BE"/>
    <w:rsid w:val="00A906DD"/>
    <w:rsid w:val="00A90E0B"/>
    <w:rsid w:val="00A92412"/>
    <w:rsid w:val="00A93686"/>
    <w:rsid w:val="00A93AA2"/>
    <w:rsid w:val="00A94BD6"/>
    <w:rsid w:val="00A95614"/>
    <w:rsid w:val="00A9625E"/>
    <w:rsid w:val="00A97DEF"/>
    <w:rsid w:val="00AA038C"/>
    <w:rsid w:val="00AA2AFB"/>
    <w:rsid w:val="00AA2B34"/>
    <w:rsid w:val="00AA385A"/>
    <w:rsid w:val="00AA46CE"/>
    <w:rsid w:val="00AA499E"/>
    <w:rsid w:val="00AA59BC"/>
    <w:rsid w:val="00AA60BD"/>
    <w:rsid w:val="00AA7365"/>
    <w:rsid w:val="00AA7A09"/>
    <w:rsid w:val="00AA7E9F"/>
    <w:rsid w:val="00AB18A4"/>
    <w:rsid w:val="00AB3B50"/>
    <w:rsid w:val="00AB7468"/>
    <w:rsid w:val="00AC0422"/>
    <w:rsid w:val="00AC04CF"/>
    <w:rsid w:val="00AC05B1"/>
    <w:rsid w:val="00AC2E01"/>
    <w:rsid w:val="00AC3002"/>
    <w:rsid w:val="00AC5A52"/>
    <w:rsid w:val="00AC5BBA"/>
    <w:rsid w:val="00AC64F2"/>
    <w:rsid w:val="00AC6BF8"/>
    <w:rsid w:val="00AC778C"/>
    <w:rsid w:val="00AC7C7F"/>
    <w:rsid w:val="00AC7D99"/>
    <w:rsid w:val="00AD1A26"/>
    <w:rsid w:val="00AD1C72"/>
    <w:rsid w:val="00AD2118"/>
    <w:rsid w:val="00AD243B"/>
    <w:rsid w:val="00AD2833"/>
    <w:rsid w:val="00AD34EB"/>
    <w:rsid w:val="00AD356C"/>
    <w:rsid w:val="00AD3DCE"/>
    <w:rsid w:val="00AD4465"/>
    <w:rsid w:val="00AD50D6"/>
    <w:rsid w:val="00AD51A9"/>
    <w:rsid w:val="00AD6597"/>
    <w:rsid w:val="00AE13A9"/>
    <w:rsid w:val="00AE13C8"/>
    <w:rsid w:val="00AE155D"/>
    <w:rsid w:val="00AE1ED1"/>
    <w:rsid w:val="00AE1F4E"/>
    <w:rsid w:val="00AE229C"/>
    <w:rsid w:val="00AE23BE"/>
    <w:rsid w:val="00AE2628"/>
    <w:rsid w:val="00AE2801"/>
    <w:rsid w:val="00AE2914"/>
    <w:rsid w:val="00AE2F53"/>
    <w:rsid w:val="00AE3457"/>
    <w:rsid w:val="00AE50E5"/>
    <w:rsid w:val="00AE6D15"/>
    <w:rsid w:val="00AE70A1"/>
    <w:rsid w:val="00AF32DD"/>
    <w:rsid w:val="00AF3518"/>
    <w:rsid w:val="00AF4649"/>
    <w:rsid w:val="00AF4A31"/>
    <w:rsid w:val="00AF740D"/>
    <w:rsid w:val="00AF76E6"/>
    <w:rsid w:val="00B0008A"/>
    <w:rsid w:val="00B0067B"/>
    <w:rsid w:val="00B02028"/>
    <w:rsid w:val="00B0205D"/>
    <w:rsid w:val="00B032C7"/>
    <w:rsid w:val="00B03557"/>
    <w:rsid w:val="00B03CA5"/>
    <w:rsid w:val="00B04182"/>
    <w:rsid w:val="00B043A7"/>
    <w:rsid w:val="00B06BC0"/>
    <w:rsid w:val="00B07AE3"/>
    <w:rsid w:val="00B07D07"/>
    <w:rsid w:val="00B1014F"/>
    <w:rsid w:val="00B11430"/>
    <w:rsid w:val="00B118BB"/>
    <w:rsid w:val="00B1397C"/>
    <w:rsid w:val="00B17CC7"/>
    <w:rsid w:val="00B2020E"/>
    <w:rsid w:val="00B21C22"/>
    <w:rsid w:val="00B21D49"/>
    <w:rsid w:val="00B22383"/>
    <w:rsid w:val="00B22BA5"/>
    <w:rsid w:val="00B23D23"/>
    <w:rsid w:val="00B23EC9"/>
    <w:rsid w:val="00B242B0"/>
    <w:rsid w:val="00B24476"/>
    <w:rsid w:val="00B2475D"/>
    <w:rsid w:val="00B25933"/>
    <w:rsid w:val="00B30260"/>
    <w:rsid w:val="00B30615"/>
    <w:rsid w:val="00B315B4"/>
    <w:rsid w:val="00B31DB6"/>
    <w:rsid w:val="00B34BF9"/>
    <w:rsid w:val="00B34CF6"/>
    <w:rsid w:val="00B353EB"/>
    <w:rsid w:val="00B35C10"/>
    <w:rsid w:val="00B3688C"/>
    <w:rsid w:val="00B36FB9"/>
    <w:rsid w:val="00B3734C"/>
    <w:rsid w:val="00B37678"/>
    <w:rsid w:val="00B37F80"/>
    <w:rsid w:val="00B408C5"/>
    <w:rsid w:val="00B4226D"/>
    <w:rsid w:val="00B437D7"/>
    <w:rsid w:val="00B439C4"/>
    <w:rsid w:val="00B44382"/>
    <w:rsid w:val="00B4535E"/>
    <w:rsid w:val="00B45F53"/>
    <w:rsid w:val="00B47EFE"/>
    <w:rsid w:val="00B51FEF"/>
    <w:rsid w:val="00B52A8C"/>
    <w:rsid w:val="00B53116"/>
    <w:rsid w:val="00B53941"/>
    <w:rsid w:val="00B53A05"/>
    <w:rsid w:val="00B53FD8"/>
    <w:rsid w:val="00B54527"/>
    <w:rsid w:val="00B54636"/>
    <w:rsid w:val="00B54B9B"/>
    <w:rsid w:val="00B56506"/>
    <w:rsid w:val="00B56E5D"/>
    <w:rsid w:val="00B56FD2"/>
    <w:rsid w:val="00B576A4"/>
    <w:rsid w:val="00B63632"/>
    <w:rsid w:val="00B636A8"/>
    <w:rsid w:val="00B651C5"/>
    <w:rsid w:val="00B6589A"/>
    <w:rsid w:val="00B665C6"/>
    <w:rsid w:val="00B66A04"/>
    <w:rsid w:val="00B66EEF"/>
    <w:rsid w:val="00B67AE2"/>
    <w:rsid w:val="00B703BE"/>
    <w:rsid w:val="00B73728"/>
    <w:rsid w:val="00B73DFC"/>
    <w:rsid w:val="00B748F3"/>
    <w:rsid w:val="00B74F90"/>
    <w:rsid w:val="00B759FD"/>
    <w:rsid w:val="00B75AF5"/>
    <w:rsid w:val="00B761C6"/>
    <w:rsid w:val="00B77251"/>
    <w:rsid w:val="00B777A8"/>
    <w:rsid w:val="00B77E90"/>
    <w:rsid w:val="00B805AF"/>
    <w:rsid w:val="00B81786"/>
    <w:rsid w:val="00B8178D"/>
    <w:rsid w:val="00B8222A"/>
    <w:rsid w:val="00B823C6"/>
    <w:rsid w:val="00B84491"/>
    <w:rsid w:val="00B84B49"/>
    <w:rsid w:val="00B850A6"/>
    <w:rsid w:val="00B8620F"/>
    <w:rsid w:val="00B869EC"/>
    <w:rsid w:val="00B86BCB"/>
    <w:rsid w:val="00B9073C"/>
    <w:rsid w:val="00B910C5"/>
    <w:rsid w:val="00B91FD9"/>
    <w:rsid w:val="00B920AB"/>
    <w:rsid w:val="00B9311A"/>
    <w:rsid w:val="00B93467"/>
    <w:rsid w:val="00B9397A"/>
    <w:rsid w:val="00B93A27"/>
    <w:rsid w:val="00B93D79"/>
    <w:rsid w:val="00B9633D"/>
    <w:rsid w:val="00BA168D"/>
    <w:rsid w:val="00BA1B2D"/>
    <w:rsid w:val="00BA2222"/>
    <w:rsid w:val="00BA2EBE"/>
    <w:rsid w:val="00BA4224"/>
    <w:rsid w:val="00BA5233"/>
    <w:rsid w:val="00BA55F9"/>
    <w:rsid w:val="00BA56C8"/>
    <w:rsid w:val="00BA5B73"/>
    <w:rsid w:val="00BA6700"/>
    <w:rsid w:val="00BA6AA4"/>
    <w:rsid w:val="00BA6E72"/>
    <w:rsid w:val="00BA6FA0"/>
    <w:rsid w:val="00BA77B4"/>
    <w:rsid w:val="00BA7A4F"/>
    <w:rsid w:val="00BA7EDD"/>
    <w:rsid w:val="00BB0113"/>
    <w:rsid w:val="00BB0E08"/>
    <w:rsid w:val="00BB0F11"/>
    <w:rsid w:val="00BB0F28"/>
    <w:rsid w:val="00BB1A08"/>
    <w:rsid w:val="00BB21E1"/>
    <w:rsid w:val="00BB24C2"/>
    <w:rsid w:val="00BB41E2"/>
    <w:rsid w:val="00BB458A"/>
    <w:rsid w:val="00BC174E"/>
    <w:rsid w:val="00BD0029"/>
    <w:rsid w:val="00BD00D3"/>
    <w:rsid w:val="00BD1659"/>
    <w:rsid w:val="00BD2061"/>
    <w:rsid w:val="00BD2AEC"/>
    <w:rsid w:val="00BD3AA9"/>
    <w:rsid w:val="00BD4A18"/>
    <w:rsid w:val="00BD4ADE"/>
    <w:rsid w:val="00BD51CE"/>
    <w:rsid w:val="00BD5CA0"/>
    <w:rsid w:val="00BD6540"/>
    <w:rsid w:val="00BD6683"/>
    <w:rsid w:val="00BD6DB2"/>
    <w:rsid w:val="00BE11CF"/>
    <w:rsid w:val="00BE1F4E"/>
    <w:rsid w:val="00BE21AB"/>
    <w:rsid w:val="00BE2391"/>
    <w:rsid w:val="00BE296F"/>
    <w:rsid w:val="00BE3875"/>
    <w:rsid w:val="00BE4492"/>
    <w:rsid w:val="00BE4605"/>
    <w:rsid w:val="00BE4AD0"/>
    <w:rsid w:val="00BE4FA8"/>
    <w:rsid w:val="00BE5540"/>
    <w:rsid w:val="00BE55CB"/>
    <w:rsid w:val="00BE7AC3"/>
    <w:rsid w:val="00BF035D"/>
    <w:rsid w:val="00BF14A1"/>
    <w:rsid w:val="00BF2796"/>
    <w:rsid w:val="00BF2B17"/>
    <w:rsid w:val="00BF4BB1"/>
    <w:rsid w:val="00BF4C5D"/>
    <w:rsid w:val="00BF540C"/>
    <w:rsid w:val="00BF581F"/>
    <w:rsid w:val="00BF617A"/>
    <w:rsid w:val="00BF7EF1"/>
    <w:rsid w:val="00C00304"/>
    <w:rsid w:val="00C0159B"/>
    <w:rsid w:val="00C01F61"/>
    <w:rsid w:val="00C0379D"/>
    <w:rsid w:val="00C03931"/>
    <w:rsid w:val="00C05FE3"/>
    <w:rsid w:val="00C06559"/>
    <w:rsid w:val="00C108ED"/>
    <w:rsid w:val="00C1356D"/>
    <w:rsid w:val="00C1373C"/>
    <w:rsid w:val="00C161EA"/>
    <w:rsid w:val="00C178E7"/>
    <w:rsid w:val="00C2136D"/>
    <w:rsid w:val="00C214EE"/>
    <w:rsid w:val="00C218BA"/>
    <w:rsid w:val="00C21BA1"/>
    <w:rsid w:val="00C22B8E"/>
    <w:rsid w:val="00C2314B"/>
    <w:rsid w:val="00C23223"/>
    <w:rsid w:val="00C24971"/>
    <w:rsid w:val="00C24F8D"/>
    <w:rsid w:val="00C254D6"/>
    <w:rsid w:val="00C2595D"/>
    <w:rsid w:val="00C263EA"/>
    <w:rsid w:val="00C26BE5"/>
    <w:rsid w:val="00C26E4D"/>
    <w:rsid w:val="00C270BE"/>
    <w:rsid w:val="00C2754A"/>
    <w:rsid w:val="00C27909"/>
    <w:rsid w:val="00C27B03"/>
    <w:rsid w:val="00C30BC8"/>
    <w:rsid w:val="00C314E1"/>
    <w:rsid w:val="00C31642"/>
    <w:rsid w:val="00C32565"/>
    <w:rsid w:val="00C34397"/>
    <w:rsid w:val="00C34C85"/>
    <w:rsid w:val="00C36549"/>
    <w:rsid w:val="00C4009B"/>
    <w:rsid w:val="00C40253"/>
    <w:rsid w:val="00C4095D"/>
    <w:rsid w:val="00C40F93"/>
    <w:rsid w:val="00C41724"/>
    <w:rsid w:val="00C42659"/>
    <w:rsid w:val="00C435E8"/>
    <w:rsid w:val="00C4435A"/>
    <w:rsid w:val="00C446E3"/>
    <w:rsid w:val="00C44E6C"/>
    <w:rsid w:val="00C45730"/>
    <w:rsid w:val="00C47132"/>
    <w:rsid w:val="00C50A9F"/>
    <w:rsid w:val="00C52855"/>
    <w:rsid w:val="00C54E14"/>
    <w:rsid w:val="00C55299"/>
    <w:rsid w:val="00C55D9F"/>
    <w:rsid w:val="00C5719F"/>
    <w:rsid w:val="00C575FB"/>
    <w:rsid w:val="00C601D2"/>
    <w:rsid w:val="00C62144"/>
    <w:rsid w:val="00C624C5"/>
    <w:rsid w:val="00C6312F"/>
    <w:rsid w:val="00C63254"/>
    <w:rsid w:val="00C64078"/>
    <w:rsid w:val="00C646EC"/>
    <w:rsid w:val="00C657AB"/>
    <w:rsid w:val="00C65947"/>
    <w:rsid w:val="00C65A69"/>
    <w:rsid w:val="00C65BCC"/>
    <w:rsid w:val="00C66970"/>
    <w:rsid w:val="00C675A7"/>
    <w:rsid w:val="00C706AB"/>
    <w:rsid w:val="00C70A11"/>
    <w:rsid w:val="00C7188D"/>
    <w:rsid w:val="00C71FB6"/>
    <w:rsid w:val="00C721AC"/>
    <w:rsid w:val="00C726CA"/>
    <w:rsid w:val="00C72EB7"/>
    <w:rsid w:val="00C74A6E"/>
    <w:rsid w:val="00C74E55"/>
    <w:rsid w:val="00C75391"/>
    <w:rsid w:val="00C75989"/>
    <w:rsid w:val="00C80CEC"/>
    <w:rsid w:val="00C8388D"/>
    <w:rsid w:val="00C84213"/>
    <w:rsid w:val="00C853BB"/>
    <w:rsid w:val="00C8633D"/>
    <w:rsid w:val="00C8691C"/>
    <w:rsid w:val="00C87982"/>
    <w:rsid w:val="00C87AC6"/>
    <w:rsid w:val="00C90A86"/>
    <w:rsid w:val="00C92438"/>
    <w:rsid w:val="00C942D2"/>
    <w:rsid w:val="00C94761"/>
    <w:rsid w:val="00C9554C"/>
    <w:rsid w:val="00CA0820"/>
    <w:rsid w:val="00CA168A"/>
    <w:rsid w:val="00CA1ADE"/>
    <w:rsid w:val="00CA1D98"/>
    <w:rsid w:val="00CA244E"/>
    <w:rsid w:val="00CA2C8E"/>
    <w:rsid w:val="00CA357E"/>
    <w:rsid w:val="00CA44F9"/>
    <w:rsid w:val="00CA4A69"/>
    <w:rsid w:val="00CA5ACD"/>
    <w:rsid w:val="00CA6FC1"/>
    <w:rsid w:val="00CA730F"/>
    <w:rsid w:val="00CA7BE2"/>
    <w:rsid w:val="00CB0C60"/>
    <w:rsid w:val="00CB0F83"/>
    <w:rsid w:val="00CB1179"/>
    <w:rsid w:val="00CB2AA9"/>
    <w:rsid w:val="00CB30B6"/>
    <w:rsid w:val="00CB3599"/>
    <w:rsid w:val="00CB3956"/>
    <w:rsid w:val="00CB3CCD"/>
    <w:rsid w:val="00CB5DA2"/>
    <w:rsid w:val="00CB61F5"/>
    <w:rsid w:val="00CB6DDD"/>
    <w:rsid w:val="00CC1C42"/>
    <w:rsid w:val="00CC2F28"/>
    <w:rsid w:val="00CC3E0C"/>
    <w:rsid w:val="00CC58D3"/>
    <w:rsid w:val="00CC701A"/>
    <w:rsid w:val="00CC73AA"/>
    <w:rsid w:val="00CC784D"/>
    <w:rsid w:val="00CC7A61"/>
    <w:rsid w:val="00CD0544"/>
    <w:rsid w:val="00CD06D7"/>
    <w:rsid w:val="00CD1F5A"/>
    <w:rsid w:val="00CD2CB2"/>
    <w:rsid w:val="00CD4EA6"/>
    <w:rsid w:val="00CD59FC"/>
    <w:rsid w:val="00CD7733"/>
    <w:rsid w:val="00CD7F64"/>
    <w:rsid w:val="00CE03AE"/>
    <w:rsid w:val="00CE322A"/>
    <w:rsid w:val="00CE399D"/>
    <w:rsid w:val="00CE4139"/>
    <w:rsid w:val="00CE4298"/>
    <w:rsid w:val="00CE43B3"/>
    <w:rsid w:val="00CE792F"/>
    <w:rsid w:val="00CE7AAA"/>
    <w:rsid w:val="00CE7F36"/>
    <w:rsid w:val="00CF021C"/>
    <w:rsid w:val="00CF0ECD"/>
    <w:rsid w:val="00CF1CA4"/>
    <w:rsid w:val="00CF2899"/>
    <w:rsid w:val="00CF2EC9"/>
    <w:rsid w:val="00CF49DA"/>
    <w:rsid w:val="00CF52A5"/>
    <w:rsid w:val="00CF5A58"/>
    <w:rsid w:val="00CF5AA3"/>
    <w:rsid w:val="00CF67AB"/>
    <w:rsid w:val="00CF6971"/>
    <w:rsid w:val="00CF74FC"/>
    <w:rsid w:val="00D00236"/>
    <w:rsid w:val="00D00918"/>
    <w:rsid w:val="00D01180"/>
    <w:rsid w:val="00D01A19"/>
    <w:rsid w:val="00D01A9D"/>
    <w:rsid w:val="00D02156"/>
    <w:rsid w:val="00D02A05"/>
    <w:rsid w:val="00D0337B"/>
    <w:rsid w:val="00D045AE"/>
    <w:rsid w:val="00D045D2"/>
    <w:rsid w:val="00D059BE"/>
    <w:rsid w:val="00D0762E"/>
    <w:rsid w:val="00D07800"/>
    <w:rsid w:val="00D079B2"/>
    <w:rsid w:val="00D07A2F"/>
    <w:rsid w:val="00D1115A"/>
    <w:rsid w:val="00D114E9"/>
    <w:rsid w:val="00D11EDF"/>
    <w:rsid w:val="00D123AB"/>
    <w:rsid w:val="00D139AA"/>
    <w:rsid w:val="00D147EB"/>
    <w:rsid w:val="00D1663C"/>
    <w:rsid w:val="00D16D78"/>
    <w:rsid w:val="00D202D9"/>
    <w:rsid w:val="00D22891"/>
    <w:rsid w:val="00D22BEC"/>
    <w:rsid w:val="00D23EC9"/>
    <w:rsid w:val="00D2445B"/>
    <w:rsid w:val="00D2738E"/>
    <w:rsid w:val="00D27E33"/>
    <w:rsid w:val="00D27F5E"/>
    <w:rsid w:val="00D31F10"/>
    <w:rsid w:val="00D32D46"/>
    <w:rsid w:val="00D3320C"/>
    <w:rsid w:val="00D3346C"/>
    <w:rsid w:val="00D34E1E"/>
    <w:rsid w:val="00D35A53"/>
    <w:rsid w:val="00D37373"/>
    <w:rsid w:val="00D37ABF"/>
    <w:rsid w:val="00D4142B"/>
    <w:rsid w:val="00D42167"/>
    <w:rsid w:val="00D429C6"/>
    <w:rsid w:val="00D42A82"/>
    <w:rsid w:val="00D4399E"/>
    <w:rsid w:val="00D47748"/>
    <w:rsid w:val="00D477D6"/>
    <w:rsid w:val="00D47A98"/>
    <w:rsid w:val="00D47B1B"/>
    <w:rsid w:val="00D539C1"/>
    <w:rsid w:val="00D53EB2"/>
    <w:rsid w:val="00D547C1"/>
    <w:rsid w:val="00D54CC3"/>
    <w:rsid w:val="00D60403"/>
    <w:rsid w:val="00D6041A"/>
    <w:rsid w:val="00D6084C"/>
    <w:rsid w:val="00D60FDA"/>
    <w:rsid w:val="00D612C3"/>
    <w:rsid w:val="00D6159F"/>
    <w:rsid w:val="00D61A84"/>
    <w:rsid w:val="00D61AAE"/>
    <w:rsid w:val="00D62499"/>
    <w:rsid w:val="00D633EB"/>
    <w:rsid w:val="00D63563"/>
    <w:rsid w:val="00D6488E"/>
    <w:rsid w:val="00D65C28"/>
    <w:rsid w:val="00D70485"/>
    <w:rsid w:val="00D7103C"/>
    <w:rsid w:val="00D73100"/>
    <w:rsid w:val="00D73FC6"/>
    <w:rsid w:val="00D77534"/>
    <w:rsid w:val="00D77C86"/>
    <w:rsid w:val="00D813F6"/>
    <w:rsid w:val="00D81C95"/>
    <w:rsid w:val="00D82FF7"/>
    <w:rsid w:val="00D83586"/>
    <w:rsid w:val="00D844B5"/>
    <w:rsid w:val="00D847FE"/>
    <w:rsid w:val="00D85167"/>
    <w:rsid w:val="00D87900"/>
    <w:rsid w:val="00D87B7B"/>
    <w:rsid w:val="00D902C5"/>
    <w:rsid w:val="00D9227E"/>
    <w:rsid w:val="00D929A3"/>
    <w:rsid w:val="00D93D1C"/>
    <w:rsid w:val="00D93DE5"/>
    <w:rsid w:val="00D9577A"/>
    <w:rsid w:val="00D96443"/>
    <w:rsid w:val="00D964EA"/>
    <w:rsid w:val="00D966D0"/>
    <w:rsid w:val="00D96FC3"/>
    <w:rsid w:val="00D9735A"/>
    <w:rsid w:val="00D97AE2"/>
    <w:rsid w:val="00D97D5D"/>
    <w:rsid w:val="00DA011A"/>
    <w:rsid w:val="00DA04D9"/>
    <w:rsid w:val="00DA0C59"/>
    <w:rsid w:val="00DA0E16"/>
    <w:rsid w:val="00DA18F0"/>
    <w:rsid w:val="00DA1AEB"/>
    <w:rsid w:val="00DA27FE"/>
    <w:rsid w:val="00DA2952"/>
    <w:rsid w:val="00DA33F8"/>
    <w:rsid w:val="00DA38F4"/>
    <w:rsid w:val="00DA3991"/>
    <w:rsid w:val="00DA63DB"/>
    <w:rsid w:val="00DA6AEB"/>
    <w:rsid w:val="00DA78BC"/>
    <w:rsid w:val="00DB12C8"/>
    <w:rsid w:val="00DB1529"/>
    <w:rsid w:val="00DB1790"/>
    <w:rsid w:val="00DB1BEE"/>
    <w:rsid w:val="00DB1F6B"/>
    <w:rsid w:val="00DB3D83"/>
    <w:rsid w:val="00DB46CD"/>
    <w:rsid w:val="00DB6EFF"/>
    <w:rsid w:val="00DB7E6C"/>
    <w:rsid w:val="00DC5394"/>
    <w:rsid w:val="00DC59AD"/>
    <w:rsid w:val="00DC59D3"/>
    <w:rsid w:val="00DC5F17"/>
    <w:rsid w:val="00DC66B6"/>
    <w:rsid w:val="00DC6AD3"/>
    <w:rsid w:val="00DC7292"/>
    <w:rsid w:val="00DC7706"/>
    <w:rsid w:val="00DD3D19"/>
    <w:rsid w:val="00DD5905"/>
    <w:rsid w:val="00DD5A29"/>
    <w:rsid w:val="00DD5D9D"/>
    <w:rsid w:val="00DD6E13"/>
    <w:rsid w:val="00DE0BE9"/>
    <w:rsid w:val="00DE30FD"/>
    <w:rsid w:val="00DE35CB"/>
    <w:rsid w:val="00DE3626"/>
    <w:rsid w:val="00DE3B53"/>
    <w:rsid w:val="00DE43E3"/>
    <w:rsid w:val="00DE47DD"/>
    <w:rsid w:val="00DE4D66"/>
    <w:rsid w:val="00DE6485"/>
    <w:rsid w:val="00DE684C"/>
    <w:rsid w:val="00DE6CAA"/>
    <w:rsid w:val="00DF02CA"/>
    <w:rsid w:val="00DF09C3"/>
    <w:rsid w:val="00DF21E9"/>
    <w:rsid w:val="00DF29D2"/>
    <w:rsid w:val="00DF3261"/>
    <w:rsid w:val="00DF719F"/>
    <w:rsid w:val="00DF7645"/>
    <w:rsid w:val="00DF7C02"/>
    <w:rsid w:val="00DF7D31"/>
    <w:rsid w:val="00E00830"/>
    <w:rsid w:val="00E00C32"/>
    <w:rsid w:val="00E00F14"/>
    <w:rsid w:val="00E027B9"/>
    <w:rsid w:val="00E041AB"/>
    <w:rsid w:val="00E05A8A"/>
    <w:rsid w:val="00E06386"/>
    <w:rsid w:val="00E063B1"/>
    <w:rsid w:val="00E11104"/>
    <w:rsid w:val="00E12B48"/>
    <w:rsid w:val="00E15640"/>
    <w:rsid w:val="00E15744"/>
    <w:rsid w:val="00E157E8"/>
    <w:rsid w:val="00E16927"/>
    <w:rsid w:val="00E20466"/>
    <w:rsid w:val="00E21089"/>
    <w:rsid w:val="00E211CF"/>
    <w:rsid w:val="00E22347"/>
    <w:rsid w:val="00E226F5"/>
    <w:rsid w:val="00E232C8"/>
    <w:rsid w:val="00E2442A"/>
    <w:rsid w:val="00E24EB4"/>
    <w:rsid w:val="00E25607"/>
    <w:rsid w:val="00E27885"/>
    <w:rsid w:val="00E27940"/>
    <w:rsid w:val="00E30D7C"/>
    <w:rsid w:val="00E31ACB"/>
    <w:rsid w:val="00E31E74"/>
    <w:rsid w:val="00E320ED"/>
    <w:rsid w:val="00E328D6"/>
    <w:rsid w:val="00E32B74"/>
    <w:rsid w:val="00E339C8"/>
    <w:rsid w:val="00E33AFB"/>
    <w:rsid w:val="00E33F7A"/>
    <w:rsid w:val="00E34218"/>
    <w:rsid w:val="00E343BD"/>
    <w:rsid w:val="00E359BD"/>
    <w:rsid w:val="00E3774E"/>
    <w:rsid w:val="00E37CDC"/>
    <w:rsid w:val="00E40E28"/>
    <w:rsid w:val="00E40F58"/>
    <w:rsid w:val="00E4117E"/>
    <w:rsid w:val="00E415F1"/>
    <w:rsid w:val="00E427E8"/>
    <w:rsid w:val="00E42876"/>
    <w:rsid w:val="00E428BE"/>
    <w:rsid w:val="00E43216"/>
    <w:rsid w:val="00E433D9"/>
    <w:rsid w:val="00E438B0"/>
    <w:rsid w:val="00E43C8C"/>
    <w:rsid w:val="00E44420"/>
    <w:rsid w:val="00E452B9"/>
    <w:rsid w:val="00E45B62"/>
    <w:rsid w:val="00E46282"/>
    <w:rsid w:val="00E46744"/>
    <w:rsid w:val="00E5216E"/>
    <w:rsid w:val="00E539A5"/>
    <w:rsid w:val="00E556A5"/>
    <w:rsid w:val="00E603DB"/>
    <w:rsid w:val="00E603DE"/>
    <w:rsid w:val="00E60BEC"/>
    <w:rsid w:val="00E61D9D"/>
    <w:rsid w:val="00E62886"/>
    <w:rsid w:val="00E62A4D"/>
    <w:rsid w:val="00E62EA2"/>
    <w:rsid w:val="00E64A72"/>
    <w:rsid w:val="00E664A1"/>
    <w:rsid w:val="00E70F31"/>
    <w:rsid w:val="00E71D01"/>
    <w:rsid w:val="00E72A93"/>
    <w:rsid w:val="00E73035"/>
    <w:rsid w:val="00E734BB"/>
    <w:rsid w:val="00E75B14"/>
    <w:rsid w:val="00E77556"/>
    <w:rsid w:val="00E80257"/>
    <w:rsid w:val="00E80FE0"/>
    <w:rsid w:val="00E813E5"/>
    <w:rsid w:val="00E82344"/>
    <w:rsid w:val="00E8360E"/>
    <w:rsid w:val="00E84C82"/>
    <w:rsid w:val="00E84D64"/>
    <w:rsid w:val="00E8508F"/>
    <w:rsid w:val="00E854E8"/>
    <w:rsid w:val="00E858BF"/>
    <w:rsid w:val="00E85B56"/>
    <w:rsid w:val="00E86B39"/>
    <w:rsid w:val="00E87408"/>
    <w:rsid w:val="00E874B6"/>
    <w:rsid w:val="00E914C4"/>
    <w:rsid w:val="00E92809"/>
    <w:rsid w:val="00E92F97"/>
    <w:rsid w:val="00E930B3"/>
    <w:rsid w:val="00E934F5"/>
    <w:rsid w:val="00E960EB"/>
    <w:rsid w:val="00E966D1"/>
    <w:rsid w:val="00E96961"/>
    <w:rsid w:val="00E96B72"/>
    <w:rsid w:val="00EA09C4"/>
    <w:rsid w:val="00EA0BBF"/>
    <w:rsid w:val="00EA3E73"/>
    <w:rsid w:val="00EA5F94"/>
    <w:rsid w:val="00EA6182"/>
    <w:rsid w:val="00EA6310"/>
    <w:rsid w:val="00EA641F"/>
    <w:rsid w:val="00EA67E0"/>
    <w:rsid w:val="00EA6821"/>
    <w:rsid w:val="00EA6F49"/>
    <w:rsid w:val="00EA72EC"/>
    <w:rsid w:val="00EB0D03"/>
    <w:rsid w:val="00EB0D5C"/>
    <w:rsid w:val="00EB11CB"/>
    <w:rsid w:val="00EB1BCA"/>
    <w:rsid w:val="00EB2644"/>
    <w:rsid w:val="00EB275A"/>
    <w:rsid w:val="00EB434E"/>
    <w:rsid w:val="00EB5D5D"/>
    <w:rsid w:val="00EB62D3"/>
    <w:rsid w:val="00EB6F07"/>
    <w:rsid w:val="00EB7061"/>
    <w:rsid w:val="00EB725D"/>
    <w:rsid w:val="00EB774B"/>
    <w:rsid w:val="00EB786A"/>
    <w:rsid w:val="00EC06C0"/>
    <w:rsid w:val="00EC1578"/>
    <w:rsid w:val="00EC1C72"/>
    <w:rsid w:val="00EC2476"/>
    <w:rsid w:val="00EC2AF8"/>
    <w:rsid w:val="00EC37BD"/>
    <w:rsid w:val="00EC3B57"/>
    <w:rsid w:val="00EC3CC9"/>
    <w:rsid w:val="00EC41E9"/>
    <w:rsid w:val="00EC6111"/>
    <w:rsid w:val="00EC680A"/>
    <w:rsid w:val="00ED003D"/>
    <w:rsid w:val="00ED0969"/>
    <w:rsid w:val="00ED0EE0"/>
    <w:rsid w:val="00ED1395"/>
    <w:rsid w:val="00ED1717"/>
    <w:rsid w:val="00ED256C"/>
    <w:rsid w:val="00ED462F"/>
    <w:rsid w:val="00ED53AE"/>
    <w:rsid w:val="00ED6258"/>
    <w:rsid w:val="00ED65B0"/>
    <w:rsid w:val="00ED6764"/>
    <w:rsid w:val="00ED7BDB"/>
    <w:rsid w:val="00EE0866"/>
    <w:rsid w:val="00EE1774"/>
    <w:rsid w:val="00EE1A4D"/>
    <w:rsid w:val="00EE1FEA"/>
    <w:rsid w:val="00EE244C"/>
    <w:rsid w:val="00EE2643"/>
    <w:rsid w:val="00EE2BED"/>
    <w:rsid w:val="00EE308A"/>
    <w:rsid w:val="00EE34D9"/>
    <w:rsid w:val="00EE374B"/>
    <w:rsid w:val="00EE3EF6"/>
    <w:rsid w:val="00EE6918"/>
    <w:rsid w:val="00EE7742"/>
    <w:rsid w:val="00EF077A"/>
    <w:rsid w:val="00EF07B6"/>
    <w:rsid w:val="00EF107C"/>
    <w:rsid w:val="00F01308"/>
    <w:rsid w:val="00F01850"/>
    <w:rsid w:val="00F02309"/>
    <w:rsid w:val="00F02BF9"/>
    <w:rsid w:val="00F06029"/>
    <w:rsid w:val="00F071BA"/>
    <w:rsid w:val="00F07C6E"/>
    <w:rsid w:val="00F105C3"/>
    <w:rsid w:val="00F11BB5"/>
    <w:rsid w:val="00F1282D"/>
    <w:rsid w:val="00F12C32"/>
    <w:rsid w:val="00F1417B"/>
    <w:rsid w:val="00F142DF"/>
    <w:rsid w:val="00F1449B"/>
    <w:rsid w:val="00F14C49"/>
    <w:rsid w:val="00F15BFC"/>
    <w:rsid w:val="00F15D83"/>
    <w:rsid w:val="00F16C14"/>
    <w:rsid w:val="00F1742D"/>
    <w:rsid w:val="00F17EBC"/>
    <w:rsid w:val="00F20DFE"/>
    <w:rsid w:val="00F2169A"/>
    <w:rsid w:val="00F22A61"/>
    <w:rsid w:val="00F253CD"/>
    <w:rsid w:val="00F25BE4"/>
    <w:rsid w:val="00F25DCA"/>
    <w:rsid w:val="00F26549"/>
    <w:rsid w:val="00F26F45"/>
    <w:rsid w:val="00F305D8"/>
    <w:rsid w:val="00F338D0"/>
    <w:rsid w:val="00F33BBD"/>
    <w:rsid w:val="00F33C92"/>
    <w:rsid w:val="00F343F8"/>
    <w:rsid w:val="00F34436"/>
    <w:rsid w:val="00F3444B"/>
    <w:rsid w:val="00F34B99"/>
    <w:rsid w:val="00F35AC8"/>
    <w:rsid w:val="00F367A3"/>
    <w:rsid w:val="00F36A08"/>
    <w:rsid w:val="00F37A36"/>
    <w:rsid w:val="00F406A9"/>
    <w:rsid w:val="00F447FD"/>
    <w:rsid w:val="00F44C73"/>
    <w:rsid w:val="00F452BC"/>
    <w:rsid w:val="00F474DB"/>
    <w:rsid w:val="00F50752"/>
    <w:rsid w:val="00F50AAA"/>
    <w:rsid w:val="00F52DAB"/>
    <w:rsid w:val="00F53174"/>
    <w:rsid w:val="00F53DEC"/>
    <w:rsid w:val="00F543F0"/>
    <w:rsid w:val="00F559C7"/>
    <w:rsid w:val="00F5690A"/>
    <w:rsid w:val="00F60F04"/>
    <w:rsid w:val="00F6226D"/>
    <w:rsid w:val="00F62957"/>
    <w:rsid w:val="00F62BD8"/>
    <w:rsid w:val="00F658A7"/>
    <w:rsid w:val="00F65C69"/>
    <w:rsid w:val="00F65D1C"/>
    <w:rsid w:val="00F660E3"/>
    <w:rsid w:val="00F664A7"/>
    <w:rsid w:val="00F672C2"/>
    <w:rsid w:val="00F7027E"/>
    <w:rsid w:val="00F70CA9"/>
    <w:rsid w:val="00F726D3"/>
    <w:rsid w:val="00F7355E"/>
    <w:rsid w:val="00F74AB5"/>
    <w:rsid w:val="00F75E01"/>
    <w:rsid w:val="00F76231"/>
    <w:rsid w:val="00F7667C"/>
    <w:rsid w:val="00F77516"/>
    <w:rsid w:val="00F777EA"/>
    <w:rsid w:val="00F77B36"/>
    <w:rsid w:val="00F81B7E"/>
    <w:rsid w:val="00F81C74"/>
    <w:rsid w:val="00F81D29"/>
    <w:rsid w:val="00F82891"/>
    <w:rsid w:val="00F8457F"/>
    <w:rsid w:val="00F856AB"/>
    <w:rsid w:val="00F85D20"/>
    <w:rsid w:val="00F86527"/>
    <w:rsid w:val="00F86B55"/>
    <w:rsid w:val="00F87320"/>
    <w:rsid w:val="00F90B54"/>
    <w:rsid w:val="00F91458"/>
    <w:rsid w:val="00F91C4D"/>
    <w:rsid w:val="00F91FF5"/>
    <w:rsid w:val="00F9233A"/>
    <w:rsid w:val="00F92752"/>
    <w:rsid w:val="00F92FD9"/>
    <w:rsid w:val="00F96351"/>
    <w:rsid w:val="00F96C1C"/>
    <w:rsid w:val="00F978F9"/>
    <w:rsid w:val="00F97B80"/>
    <w:rsid w:val="00FA0DDA"/>
    <w:rsid w:val="00FA1834"/>
    <w:rsid w:val="00FA18E6"/>
    <w:rsid w:val="00FA1A6C"/>
    <w:rsid w:val="00FA2E88"/>
    <w:rsid w:val="00FA42AD"/>
    <w:rsid w:val="00FA4A2C"/>
    <w:rsid w:val="00FA4F73"/>
    <w:rsid w:val="00FA6684"/>
    <w:rsid w:val="00FA6AAE"/>
    <w:rsid w:val="00FA731E"/>
    <w:rsid w:val="00FB0439"/>
    <w:rsid w:val="00FB0E0D"/>
    <w:rsid w:val="00FB2B38"/>
    <w:rsid w:val="00FB4804"/>
    <w:rsid w:val="00FB488B"/>
    <w:rsid w:val="00FB48FB"/>
    <w:rsid w:val="00FB54AC"/>
    <w:rsid w:val="00FB5D76"/>
    <w:rsid w:val="00FC070C"/>
    <w:rsid w:val="00FC4039"/>
    <w:rsid w:val="00FC45E6"/>
    <w:rsid w:val="00FC4717"/>
    <w:rsid w:val="00FC6358"/>
    <w:rsid w:val="00FC6741"/>
    <w:rsid w:val="00FC6AF1"/>
    <w:rsid w:val="00FC7D0B"/>
    <w:rsid w:val="00FD0A99"/>
    <w:rsid w:val="00FD0CD1"/>
    <w:rsid w:val="00FD320D"/>
    <w:rsid w:val="00FD5DDD"/>
    <w:rsid w:val="00FD6B9D"/>
    <w:rsid w:val="00FD72B6"/>
    <w:rsid w:val="00FD74A9"/>
    <w:rsid w:val="00FE012B"/>
    <w:rsid w:val="00FE0A75"/>
    <w:rsid w:val="00FE209D"/>
    <w:rsid w:val="00FE23DE"/>
    <w:rsid w:val="00FE34E7"/>
    <w:rsid w:val="00FE3E1B"/>
    <w:rsid w:val="00FE3EDF"/>
    <w:rsid w:val="00FE42E8"/>
    <w:rsid w:val="00FE43D8"/>
    <w:rsid w:val="00FE52C4"/>
    <w:rsid w:val="00FE60E4"/>
    <w:rsid w:val="00FE6283"/>
    <w:rsid w:val="00FE682C"/>
    <w:rsid w:val="00FE71E4"/>
    <w:rsid w:val="00FF0093"/>
    <w:rsid w:val="00FF14B3"/>
    <w:rsid w:val="00FF245D"/>
    <w:rsid w:val="00FF2EF8"/>
    <w:rsid w:val="00FF381F"/>
    <w:rsid w:val="00FF3F65"/>
    <w:rsid w:val="00FF42D4"/>
    <w:rsid w:val="00FF5603"/>
    <w:rsid w:val="00FF58C2"/>
    <w:rsid w:val="00FF6E8D"/>
    <w:rsid w:val="01BE2720"/>
    <w:rsid w:val="01EA639E"/>
    <w:rsid w:val="02412680"/>
    <w:rsid w:val="031418F0"/>
    <w:rsid w:val="032863F4"/>
    <w:rsid w:val="03676684"/>
    <w:rsid w:val="0530107F"/>
    <w:rsid w:val="077420AA"/>
    <w:rsid w:val="085D0CDE"/>
    <w:rsid w:val="0886328D"/>
    <w:rsid w:val="088C1F1C"/>
    <w:rsid w:val="09C41544"/>
    <w:rsid w:val="09DE0562"/>
    <w:rsid w:val="0A2251E1"/>
    <w:rsid w:val="0A276CF4"/>
    <w:rsid w:val="0A5A6EC3"/>
    <w:rsid w:val="0A79447B"/>
    <w:rsid w:val="0BAB4EAA"/>
    <w:rsid w:val="0C8E265F"/>
    <w:rsid w:val="0C9238AB"/>
    <w:rsid w:val="0D4A5C7B"/>
    <w:rsid w:val="0DA32213"/>
    <w:rsid w:val="0DF76BF5"/>
    <w:rsid w:val="0FB25716"/>
    <w:rsid w:val="0FEA0592"/>
    <w:rsid w:val="0FF545AD"/>
    <w:rsid w:val="10C91018"/>
    <w:rsid w:val="119D4198"/>
    <w:rsid w:val="11CF0E5E"/>
    <w:rsid w:val="1227460A"/>
    <w:rsid w:val="134A05BD"/>
    <w:rsid w:val="14127D9C"/>
    <w:rsid w:val="141D3475"/>
    <w:rsid w:val="145E2929"/>
    <w:rsid w:val="146D3175"/>
    <w:rsid w:val="149048A2"/>
    <w:rsid w:val="169828FB"/>
    <w:rsid w:val="17367C2F"/>
    <w:rsid w:val="17691D09"/>
    <w:rsid w:val="185F4514"/>
    <w:rsid w:val="195F5A09"/>
    <w:rsid w:val="1A487232"/>
    <w:rsid w:val="1ACE32C3"/>
    <w:rsid w:val="1B2A3091"/>
    <w:rsid w:val="1B9F6378"/>
    <w:rsid w:val="1BD31465"/>
    <w:rsid w:val="1BD66888"/>
    <w:rsid w:val="1C144A0C"/>
    <w:rsid w:val="1C616EE6"/>
    <w:rsid w:val="22732A54"/>
    <w:rsid w:val="24F32B97"/>
    <w:rsid w:val="252302E4"/>
    <w:rsid w:val="256A4061"/>
    <w:rsid w:val="2705317A"/>
    <w:rsid w:val="27887A3C"/>
    <w:rsid w:val="278A5E74"/>
    <w:rsid w:val="27E519B5"/>
    <w:rsid w:val="28A4173C"/>
    <w:rsid w:val="28E72E42"/>
    <w:rsid w:val="292B3A12"/>
    <w:rsid w:val="2AB74AC0"/>
    <w:rsid w:val="2C6C28F4"/>
    <w:rsid w:val="2D6135FD"/>
    <w:rsid w:val="2DA20BD9"/>
    <w:rsid w:val="2F2D4BB6"/>
    <w:rsid w:val="2FC6632F"/>
    <w:rsid w:val="30981B86"/>
    <w:rsid w:val="30BF3D80"/>
    <w:rsid w:val="31366AB3"/>
    <w:rsid w:val="31C71C48"/>
    <w:rsid w:val="31FF6DEC"/>
    <w:rsid w:val="323E39E4"/>
    <w:rsid w:val="32766A06"/>
    <w:rsid w:val="34D010CA"/>
    <w:rsid w:val="34D523DE"/>
    <w:rsid w:val="355B1DD6"/>
    <w:rsid w:val="361753C8"/>
    <w:rsid w:val="36595F6A"/>
    <w:rsid w:val="3748350E"/>
    <w:rsid w:val="387915E3"/>
    <w:rsid w:val="389E0E09"/>
    <w:rsid w:val="397D5FDF"/>
    <w:rsid w:val="3A191B72"/>
    <w:rsid w:val="3B393A81"/>
    <w:rsid w:val="3BD65A90"/>
    <w:rsid w:val="3C8631DB"/>
    <w:rsid w:val="3C8C7D0F"/>
    <w:rsid w:val="3C9F429D"/>
    <w:rsid w:val="3CAB1041"/>
    <w:rsid w:val="3F6B490A"/>
    <w:rsid w:val="3F937FDE"/>
    <w:rsid w:val="3FEC53D8"/>
    <w:rsid w:val="3FF00293"/>
    <w:rsid w:val="40EB5D02"/>
    <w:rsid w:val="40F30A0E"/>
    <w:rsid w:val="41F8359E"/>
    <w:rsid w:val="41FD5CED"/>
    <w:rsid w:val="427723B9"/>
    <w:rsid w:val="457741CF"/>
    <w:rsid w:val="45C35E50"/>
    <w:rsid w:val="45DC6D66"/>
    <w:rsid w:val="46343CA8"/>
    <w:rsid w:val="471C5C4A"/>
    <w:rsid w:val="472C3839"/>
    <w:rsid w:val="482901D8"/>
    <w:rsid w:val="491B3F2D"/>
    <w:rsid w:val="493F63F1"/>
    <w:rsid w:val="4A37625A"/>
    <w:rsid w:val="4AC7411F"/>
    <w:rsid w:val="4B0646FA"/>
    <w:rsid w:val="4B2772B4"/>
    <w:rsid w:val="4B553B74"/>
    <w:rsid w:val="4E4D159D"/>
    <w:rsid w:val="4E6001FB"/>
    <w:rsid w:val="4F5E1D95"/>
    <w:rsid w:val="50913BDC"/>
    <w:rsid w:val="51551DDF"/>
    <w:rsid w:val="51C67C6A"/>
    <w:rsid w:val="51F31C9E"/>
    <w:rsid w:val="52E00474"/>
    <w:rsid w:val="53A72416"/>
    <w:rsid w:val="53EE7C48"/>
    <w:rsid w:val="54A26BF6"/>
    <w:rsid w:val="555B08C5"/>
    <w:rsid w:val="555D3FFE"/>
    <w:rsid w:val="56BD3845"/>
    <w:rsid w:val="5720429C"/>
    <w:rsid w:val="587324EC"/>
    <w:rsid w:val="58E16519"/>
    <w:rsid w:val="5960230F"/>
    <w:rsid w:val="5A5650CB"/>
    <w:rsid w:val="5A5B1EAE"/>
    <w:rsid w:val="5AE80475"/>
    <w:rsid w:val="5AED1980"/>
    <w:rsid w:val="5B89325A"/>
    <w:rsid w:val="5C1F1698"/>
    <w:rsid w:val="5C2327C7"/>
    <w:rsid w:val="5D1B08C6"/>
    <w:rsid w:val="5D2A6769"/>
    <w:rsid w:val="5ECE2286"/>
    <w:rsid w:val="5EDE6079"/>
    <w:rsid w:val="60580B80"/>
    <w:rsid w:val="60A911B8"/>
    <w:rsid w:val="60BF3DBF"/>
    <w:rsid w:val="60EA24F6"/>
    <w:rsid w:val="60EA7AA7"/>
    <w:rsid w:val="61517C15"/>
    <w:rsid w:val="62092E18"/>
    <w:rsid w:val="65631A5C"/>
    <w:rsid w:val="658302B0"/>
    <w:rsid w:val="659274C1"/>
    <w:rsid w:val="66714ADB"/>
    <w:rsid w:val="66D20EB6"/>
    <w:rsid w:val="66ED5A81"/>
    <w:rsid w:val="67890D19"/>
    <w:rsid w:val="69DE0CFA"/>
    <w:rsid w:val="6B243A3B"/>
    <w:rsid w:val="6C2C4852"/>
    <w:rsid w:val="6C646AEE"/>
    <w:rsid w:val="6CBF4182"/>
    <w:rsid w:val="6D13457C"/>
    <w:rsid w:val="6D89532A"/>
    <w:rsid w:val="6E0944CB"/>
    <w:rsid w:val="6F694113"/>
    <w:rsid w:val="6FCE4C34"/>
    <w:rsid w:val="707C6E7F"/>
    <w:rsid w:val="71263C48"/>
    <w:rsid w:val="718A336F"/>
    <w:rsid w:val="71C11FE4"/>
    <w:rsid w:val="72877F00"/>
    <w:rsid w:val="73A1672B"/>
    <w:rsid w:val="74EE65C9"/>
    <w:rsid w:val="757B56C2"/>
    <w:rsid w:val="762810A5"/>
    <w:rsid w:val="76666820"/>
    <w:rsid w:val="76A10290"/>
    <w:rsid w:val="77F33721"/>
    <w:rsid w:val="78442AC7"/>
    <w:rsid w:val="78B051C3"/>
    <w:rsid w:val="78D06FA2"/>
    <w:rsid w:val="79237F02"/>
    <w:rsid w:val="79C01408"/>
    <w:rsid w:val="7ADA575E"/>
    <w:rsid w:val="7B5619EF"/>
    <w:rsid w:val="7BBA1413"/>
    <w:rsid w:val="7C445CEB"/>
    <w:rsid w:val="7D2A660C"/>
    <w:rsid w:val="7D692F54"/>
    <w:rsid w:val="7D7C3D6F"/>
    <w:rsid w:val="7FD41D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46"/>
    <w:autoRedefine/>
    <w:qFormat/>
    <w:uiPriority w:val="9"/>
    <w:pPr>
      <w:widowControl/>
      <w:numPr>
        <w:ilvl w:val="0"/>
        <w:numId w:val="1"/>
      </w:numPr>
      <w:spacing w:before="100" w:beforeAutospacing="1" w:after="100" w:afterAutospacing="1"/>
      <w:jc w:val="left"/>
      <w:outlineLvl w:val="0"/>
    </w:pPr>
    <w:rPr>
      <w:rFonts w:ascii="宋体" w:hAnsi="宋体"/>
      <w:b/>
      <w:bCs/>
      <w:kern w:val="36"/>
      <w:sz w:val="48"/>
      <w:szCs w:val="48"/>
    </w:rPr>
  </w:style>
  <w:style w:type="paragraph" w:styleId="3">
    <w:name w:val="heading 2"/>
    <w:basedOn w:val="1"/>
    <w:next w:val="1"/>
    <w:link w:val="47"/>
    <w:qFormat/>
    <w:uiPriority w:val="0"/>
    <w:pPr>
      <w:keepNext/>
      <w:keepLines/>
      <w:numPr>
        <w:ilvl w:val="1"/>
        <w:numId w:val="1"/>
      </w:numPr>
      <w:spacing w:before="260" w:after="260" w:line="416" w:lineRule="auto"/>
      <w:outlineLvl w:val="1"/>
    </w:pPr>
    <w:rPr>
      <w:rFonts w:ascii="Calibri Light" w:hAnsi="Calibri Light"/>
      <w:b/>
      <w:bCs/>
      <w:sz w:val="32"/>
      <w:szCs w:val="32"/>
    </w:rPr>
  </w:style>
  <w:style w:type="paragraph" w:styleId="4">
    <w:name w:val="heading 3"/>
    <w:basedOn w:val="1"/>
    <w:next w:val="1"/>
    <w:link w:val="48"/>
    <w:qFormat/>
    <w:uiPriority w:val="0"/>
    <w:pPr>
      <w:keepNext/>
      <w:keepLines/>
      <w:numPr>
        <w:ilvl w:val="2"/>
        <w:numId w:val="1"/>
      </w:numPr>
      <w:outlineLvl w:val="2"/>
    </w:pPr>
    <w:rPr>
      <w:rFonts w:eastAsia="黑体"/>
      <w:b/>
      <w:bCs/>
      <w:szCs w:val="21"/>
    </w:rPr>
  </w:style>
  <w:style w:type="character" w:default="1" w:styleId="37">
    <w:name w:val="Default Paragraph Font"/>
    <w:semiHidden/>
    <w:unhideWhenUsed/>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autoRedefine/>
    <w:semiHidden/>
    <w:qFormat/>
    <w:uiPriority w:val="0"/>
    <w:pPr>
      <w:tabs>
        <w:tab w:val="right" w:leader="dot" w:pos="9241"/>
      </w:tabs>
      <w:ind w:firstLine="505" w:firstLineChars="500"/>
      <w:jc w:val="left"/>
    </w:pPr>
    <w:rPr>
      <w:rFonts w:ascii="宋体"/>
      <w:szCs w:val="21"/>
    </w:rPr>
  </w:style>
  <w:style w:type="paragraph" w:styleId="6">
    <w:name w:val="index 8"/>
    <w:basedOn w:val="1"/>
    <w:next w:val="1"/>
    <w:autoRedefine/>
    <w:qFormat/>
    <w:uiPriority w:val="0"/>
    <w:pPr>
      <w:ind w:left="1680" w:hanging="210"/>
      <w:jc w:val="left"/>
    </w:pPr>
    <w:rPr>
      <w:rFonts w:ascii="Calibri" w:hAnsi="Calibri"/>
      <w:sz w:val="20"/>
      <w:szCs w:val="20"/>
    </w:rPr>
  </w:style>
  <w:style w:type="paragraph" w:styleId="7">
    <w:name w:val="caption"/>
    <w:basedOn w:val="1"/>
    <w:next w:val="1"/>
    <w:autoRedefine/>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rFonts w:ascii="Calibri" w:hAnsi="Calibri"/>
      <w:sz w:val="20"/>
      <w:szCs w:val="20"/>
    </w:rPr>
  </w:style>
  <w:style w:type="paragraph" w:styleId="9">
    <w:name w:val="Document Map"/>
    <w:basedOn w:val="1"/>
    <w:autoRedefine/>
    <w:semiHidden/>
    <w:qFormat/>
    <w:uiPriority w:val="0"/>
    <w:pPr>
      <w:shd w:val="clear" w:color="auto" w:fill="000080"/>
    </w:pPr>
  </w:style>
  <w:style w:type="paragraph" w:styleId="10">
    <w:name w:val="annotation text"/>
    <w:basedOn w:val="1"/>
    <w:link w:val="49"/>
    <w:autoRedefine/>
    <w:qFormat/>
    <w:uiPriority w:val="0"/>
    <w:pPr>
      <w:jc w:val="left"/>
    </w:pPr>
  </w:style>
  <w:style w:type="paragraph" w:styleId="11">
    <w:name w:val="index 6"/>
    <w:basedOn w:val="1"/>
    <w:next w:val="1"/>
    <w:autoRedefine/>
    <w:qFormat/>
    <w:uiPriority w:val="0"/>
    <w:pPr>
      <w:ind w:left="1260" w:hanging="210"/>
      <w:jc w:val="left"/>
    </w:pPr>
    <w:rPr>
      <w:rFonts w:ascii="Calibri" w:hAnsi="Calibri"/>
      <w:sz w:val="20"/>
      <w:szCs w:val="20"/>
    </w:rPr>
  </w:style>
  <w:style w:type="paragraph" w:styleId="12">
    <w:name w:val="index 4"/>
    <w:basedOn w:val="1"/>
    <w:next w:val="1"/>
    <w:qFormat/>
    <w:uiPriority w:val="0"/>
    <w:pPr>
      <w:ind w:left="840" w:hanging="210"/>
      <w:jc w:val="left"/>
    </w:pPr>
    <w:rPr>
      <w:rFonts w:ascii="Calibri" w:hAnsi="Calibri"/>
      <w:sz w:val="20"/>
      <w:szCs w:val="20"/>
    </w:rPr>
  </w:style>
  <w:style w:type="paragraph" w:styleId="13">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4">
    <w:name w:val="toc 3"/>
    <w:basedOn w:val="1"/>
    <w:next w:val="1"/>
    <w:autoRedefine/>
    <w:qFormat/>
    <w:uiPriority w:val="39"/>
    <w:pPr>
      <w:tabs>
        <w:tab w:val="right" w:leader="dot" w:pos="9241"/>
      </w:tabs>
      <w:ind w:firstLine="102" w:firstLineChars="100"/>
      <w:jc w:val="left"/>
    </w:pPr>
    <w:rPr>
      <w:rFonts w:ascii="宋体"/>
      <w:szCs w:val="21"/>
    </w:rPr>
  </w:style>
  <w:style w:type="paragraph" w:styleId="15">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6">
    <w:name w:val="index 3"/>
    <w:basedOn w:val="1"/>
    <w:next w:val="1"/>
    <w:autoRedefine/>
    <w:qFormat/>
    <w:uiPriority w:val="0"/>
    <w:pPr>
      <w:ind w:left="630" w:hanging="210"/>
      <w:jc w:val="left"/>
    </w:pPr>
    <w:rPr>
      <w:rFonts w:ascii="Calibri" w:hAnsi="Calibri"/>
      <w:sz w:val="20"/>
      <w:szCs w:val="20"/>
    </w:rPr>
  </w:style>
  <w:style w:type="paragraph" w:styleId="17">
    <w:name w:val="endnote text"/>
    <w:basedOn w:val="1"/>
    <w:semiHidden/>
    <w:qFormat/>
    <w:uiPriority w:val="0"/>
    <w:pPr>
      <w:snapToGrid w:val="0"/>
      <w:jc w:val="left"/>
    </w:pPr>
  </w:style>
  <w:style w:type="paragraph" w:styleId="18">
    <w:name w:val="Balloon Text"/>
    <w:basedOn w:val="1"/>
    <w:link w:val="50"/>
    <w:qFormat/>
    <w:uiPriority w:val="0"/>
    <w:rPr>
      <w:sz w:val="18"/>
      <w:szCs w:val="18"/>
    </w:rPr>
  </w:style>
  <w:style w:type="paragraph" w:styleId="19">
    <w:name w:val="footer"/>
    <w:basedOn w:val="1"/>
    <w:autoRedefine/>
    <w:qFormat/>
    <w:uiPriority w:val="0"/>
    <w:pPr>
      <w:snapToGrid w:val="0"/>
      <w:ind w:right="210" w:rightChars="100"/>
      <w:jc w:val="right"/>
    </w:pPr>
    <w:rPr>
      <w:sz w:val="18"/>
      <w:szCs w:val="18"/>
    </w:rPr>
  </w:style>
  <w:style w:type="paragraph" w:styleId="20">
    <w:name w:val="header"/>
    <w:basedOn w:val="1"/>
    <w:autoRedefine/>
    <w:qFormat/>
    <w:uiPriority w:val="0"/>
    <w:pPr>
      <w:snapToGrid w:val="0"/>
      <w:jc w:val="left"/>
    </w:pPr>
    <w:rPr>
      <w:sz w:val="18"/>
      <w:szCs w:val="18"/>
    </w:rPr>
  </w:style>
  <w:style w:type="paragraph" w:styleId="21">
    <w:name w:val="toc 1"/>
    <w:basedOn w:val="1"/>
    <w:next w:val="1"/>
    <w:autoRedefine/>
    <w:qFormat/>
    <w:uiPriority w:val="39"/>
    <w:pPr>
      <w:tabs>
        <w:tab w:val="right" w:leader="dot" w:pos="9241"/>
      </w:tabs>
      <w:spacing w:beforeLines="25" w:afterLines="25"/>
      <w:jc w:val="left"/>
    </w:pPr>
    <w:rPr>
      <w:rFonts w:ascii="宋体"/>
      <w:szCs w:val="21"/>
    </w:rPr>
  </w:style>
  <w:style w:type="paragraph" w:styleId="22">
    <w:name w:val="toc 4"/>
    <w:basedOn w:val="1"/>
    <w:next w:val="1"/>
    <w:autoRedefine/>
    <w:semiHidden/>
    <w:qFormat/>
    <w:uiPriority w:val="0"/>
    <w:pPr>
      <w:tabs>
        <w:tab w:val="right" w:leader="dot" w:pos="9241"/>
      </w:tabs>
      <w:ind w:firstLine="198" w:firstLineChars="200"/>
      <w:jc w:val="left"/>
    </w:pPr>
    <w:rPr>
      <w:rFonts w:ascii="宋体"/>
      <w:szCs w:val="21"/>
    </w:rPr>
  </w:style>
  <w:style w:type="paragraph" w:styleId="23">
    <w:name w:val="index heading"/>
    <w:basedOn w:val="1"/>
    <w:next w:val="24"/>
    <w:autoRedefine/>
    <w:qFormat/>
    <w:uiPriority w:val="0"/>
    <w:pPr>
      <w:spacing w:before="120" w:after="120"/>
      <w:jc w:val="center"/>
    </w:pPr>
    <w:rPr>
      <w:rFonts w:ascii="Calibri" w:hAnsi="Calibri"/>
      <w:b/>
      <w:bCs/>
      <w:iCs/>
      <w:szCs w:val="20"/>
    </w:rPr>
  </w:style>
  <w:style w:type="paragraph" w:styleId="24">
    <w:name w:val="index 1"/>
    <w:basedOn w:val="1"/>
    <w:next w:val="25"/>
    <w:autoRedefine/>
    <w:qFormat/>
    <w:uiPriority w:val="0"/>
    <w:pPr>
      <w:tabs>
        <w:tab w:val="right" w:leader="dot" w:pos="9299"/>
      </w:tabs>
      <w:jc w:val="left"/>
    </w:pPr>
    <w:rPr>
      <w:rFonts w:ascii="宋体"/>
      <w:szCs w:val="21"/>
    </w:rPr>
  </w:style>
  <w:style w:type="paragraph" w:customStyle="1" w:styleId="25">
    <w:name w:val="段"/>
    <w:link w:val="5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autoRedefine/>
    <w:qFormat/>
    <w:uiPriority w:val="0"/>
    <w:pPr>
      <w:numPr>
        <w:ilvl w:val="0"/>
        <w:numId w:val="2"/>
      </w:numPr>
      <w:snapToGrid w:val="0"/>
      <w:jc w:val="left"/>
    </w:pPr>
    <w:rPr>
      <w:rFonts w:ascii="宋体"/>
      <w:sz w:val="18"/>
      <w:szCs w:val="18"/>
    </w:rPr>
  </w:style>
  <w:style w:type="paragraph" w:styleId="27">
    <w:name w:val="toc 6"/>
    <w:basedOn w:val="1"/>
    <w:next w:val="1"/>
    <w:semiHidden/>
    <w:qFormat/>
    <w:uiPriority w:val="0"/>
    <w:pPr>
      <w:tabs>
        <w:tab w:val="right" w:leader="dot" w:pos="9241"/>
      </w:tabs>
      <w:ind w:firstLine="403" w:firstLineChars="400"/>
      <w:jc w:val="left"/>
    </w:pPr>
    <w:rPr>
      <w:rFonts w:ascii="宋体"/>
      <w:szCs w:val="21"/>
    </w:rPr>
  </w:style>
  <w:style w:type="paragraph" w:styleId="28">
    <w:name w:val="index 7"/>
    <w:basedOn w:val="1"/>
    <w:next w:val="1"/>
    <w:autoRedefine/>
    <w:qFormat/>
    <w:uiPriority w:val="0"/>
    <w:pPr>
      <w:ind w:left="1470" w:hanging="210"/>
      <w:jc w:val="left"/>
    </w:pPr>
    <w:rPr>
      <w:rFonts w:ascii="Calibri" w:hAnsi="Calibri"/>
      <w:sz w:val="20"/>
      <w:szCs w:val="20"/>
    </w:rPr>
  </w:style>
  <w:style w:type="paragraph" w:styleId="29">
    <w:name w:val="index 9"/>
    <w:basedOn w:val="1"/>
    <w:next w:val="1"/>
    <w:autoRedefine/>
    <w:qFormat/>
    <w:uiPriority w:val="0"/>
    <w:pPr>
      <w:ind w:left="1890" w:hanging="210"/>
      <w:jc w:val="left"/>
    </w:pPr>
    <w:rPr>
      <w:rFonts w:ascii="Calibri" w:hAnsi="Calibri"/>
      <w:sz w:val="20"/>
      <w:szCs w:val="20"/>
    </w:rPr>
  </w:style>
  <w:style w:type="paragraph" w:styleId="30">
    <w:name w:val="toc 2"/>
    <w:basedOn w:val="1"/>
    <w:next w:val="1"/>
    <w:autoRedefine/>
    <w:qFormat/>
    <w:uiPriority w:val="39"/>
    <w:pPr>
      <w:tabs>
        <w:tab w:val="right" w:leader="dot" w:pos="9241"/>
      </w:tabs>
    </w:pPr>
    <w:rPr>
      <w:rFonts w:ascii="宋体"/>
      <w:szCs w:val="21"/>
    </w:rPr>
  </w:style>
  <w:style w:type="paragraph" w:styleId="31">
    <w:name w:val="toc 9"/>
    <w:basedOn w:val="1"/>
    <w:next w:val="1"/>
    <w:autoRedefine/>
    <w:semiHidden/>
    <w:qFormat/>
    <w:uiPriority w:val="0"/>
    <w:pPr>
      <w:ind w:left="1470"/>
      <w:jc w:val="left"/>
    </w:pPr>
    <w:rPr>
      <w:sz w:val="20"/>
      <w:szCs w:val="20"/>
    </w:rPr>
  </w:style>
  <w:style w:type="paragraph" w:styleId="32">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33">
    <w:name w:val="index 2"/>
    <w:basedOn w:val="1"/>
    <w:next w:val="1"/>
    <w:qFormat/>
    <w:uiPriority w:val="0"/>
    <w:pPr>
      <w:ind w:left="420" w:hanging="210"/>
      <w:jc w:val="left"/>
    </w:pPr>
    <w:rPr>
      <w:rFonts w:ascii="Calibri" w:hAnsi="Calibri"/>
      <w:sz w:val="20"/>
      <w:szCs w:val="20"/>
    </w:rPr>
  </w:style>
  <w:style w:type="paragraph" w:styleId="34">
    <w:name w:val="annotation subject"/>
    <w:basedOn w:val="10"/>
    <w:next w:val="10"/>
    <w:link w:val="52"/>
    <w:autoRedefine/>
    <w:qFormat/>
    <w:uiPriority w:val="0"/>
    <w:rPr>
      <w:b/>
      <w:bCs/>
    </w:rPr>
  </w:style>
  <w:style w:type="table" w:styleId="36">
    <w:name w:val="Table Grid"/>
    <w:basedOn w:val="35"/>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8">
    <w:name w:val="Strong"/>
    <w:autoRedefine/>
    <w:qFormat/>
    <w:uiPriority w:val="22"/>
    <w:rPr>
      <w:b/>
      <w:bCs/>
    </w:rPr>
  </w:style>
  <w:style w:type="character" w:styleId="39">
    <w:name w:val="endnote reference"/>
    <w:autoRedefine/>
    <w:semiHidden/>
    <w:qFormat/>
    <w:uiPriority w:val="0"/>
    <w:rPr>
      <w:vertAlign w:val="superscript"/>
    </w:rPr>
  </w:style>
  <w:style w:type="character" w:styleId="40">
    <w:name w:val="page number"/>
    <w:autoRedefine/>
    <w:qFormat/>
    <w:uiPriority w:val="0"/>
    <w:rPr>
      <w:rFonts w:ascii="Times New Roman" w:hAnsi="Times New Roman" w:eastAsia="宋体"/>
      <w:sz w:val="18"/>
    </w:rPr>
  </w:style>
  <w:style w:type="character" w:styleId="41">
    <w:name w:val="FollowedHyperlink"/>
    <w:qFormat/>
    <w:uiPriority w:val="0"/>
    <w:rPr>
      <w:color w:val="800080"/>
      <w:u w:val="single"/>
    </w:rPr>
  </w:style>
  <w:style w:type="character" w:styleId="42">
    <w:name w:val="Emphasis"/>
    <w:basedOn w:val="37"/>
    <w:autoRedefine/>
    <w:qFormat/>
    <w:uiPriority w:val="20"/>
    <w:rPr>
      <w:i/>
    </w:rPr>
  </w:style>
  <w:style w:type="character" w:styleId="43">
    <w:name w:val="Hyperlink"/>
    <w:basedOn w:val="37"/>
    <w:qFormat/>
    <w:uiPriority w:val="99"/>
    <w:rPr>
      <w:color w:val="0000FF"/>
      <w:spacing w:val="0"/>
      <w:w w:val="100"/>
      <w:szCs w:val="21"/>
      <w:u w:val="single"/>
      <w:lang w:val="en-US" w:eastAsia="zh-CN"/>
    </w:rPr>
  </w:style>
  <w:style w:type="character" w:styleId="44">
    <w:name w:val="annotation reference"/>
    <w:qFormat/>
    <w:uiPriority w:val="99"/>
    <w:rPr>
      <w:sz w:val="21"/>
      <w:szCs w:val="21"/>
    </w:rPr>
  </w:style>
  <w:style w:type="character" w:styleId="45">
    <w:name w:val="footnote reference"/>
    <w:semiHidden/>
    <w:qFormat/>
    <w:uiPriority w:val="0"/>
    <w:rPr>
      <w:vertAlign w:val="superscript"/>
    </w:rPr>
  </w:style>
  <w:style w:type="character" w:customStyle="1" w:styleId="46">
    <w:name w:val="标题 1 Char"/>
    <w:link w:val="2"/>
    <w:autoRedefine/>
    <w:qFormat/>
    <w:uiPriority w:val="9"/>
    <w:rPr>
      <w:rFonts w:ascii="宋体" w:hAnsi="宋体" w:cs="宋体"/>
      <w:b/>
      <w:bCs/>
      <w:kern w:val="36"/>
      <w:sz w:val="48"/>
      <w:szCs w:val="48"/>
    </w:rPr>
  </w:style>
  <w:style w:type="character" w:customStyle="1" w:styleId="47">
    <w:name w:val="标题 2 Char"/>
    <w:link w:val="3"/>
    <w:semiHidden/>
    <w:qFormat/>
    <w:uiPriority w:val="0"/>
    <w:rPr>
      <w:rFonts w:ascii="Calibri Light" w:hAnsi="Calibri Light" w:eastAsia="宋体" w:cs="Times New Roman"/>
      <w:b/>
      <w:bCs/>
      <w:kern w:val="2"/>
      <w:sz w:val="32"/>
      <w:szCs w:val="32"/>
    </w:rPr>
  </w:style>
  <w:style w:type="character" w:customStyle="1" w:styleId="48">
    <w:name w:val="标题 3 Char"/>
    <w:link w:val="4"/>
    <w:autoRedefine/>
    <w:qFormat/>
    <w:uiPriority w:val="0"/>
    <w:rPr>
      <w:rFonts w:eastAsia="黑体"/>
      <w:b/>
      <w:bCs/>
      <w:kern w:val="2"/>
      <w:sz w:val="21"/>
      <w:szCs w:val="21"/>
    </w:rPr>
  </w:style>
  <w:style w:type="character" w:customStyle="1" w:styleId="49">
    <w:name w:val="批注文字 Char2"/>
    <w:link w:val="10"/>
    <w:autoRedefine/>
    <w:qFormat/>
    <w:uiPriority w:val="0"/>
    <w:rPr>
      <w:kern w:val="2"/>
      <w:sz w:val="21"/>
      <w:szCs w:val="24"/>
    </w:rPr>
  </w:style>
  <w:style w:type="character" w:customStyle="1" w:styleId="50">
    <w:name w:val="批注框文本 Char"/>
    <w:link w:val="18"/>
    <w:autoRedefine/>
    <w:qFormat/>
    <w:uiPriority w:val="0"/>
    <w:rPr>
      <w:kern w:val="2"/>
      <w:sz w:val="18"/>
      <w:szCs w:val="18"/>
    </w:rPr>
  </w:style>
  <w:style w:type="character" w:customStyle="1" w:styleId="51">
    <w:name w:val="段 Char"/>
    <w:link w:val="25"/>
    <w:autoRedefine/>
    <w:qFormat/>
    <w:uiPriority w:val="0"/>
    <w:rPr>
      <w:rFonts w:ascii="宋体"/>
      <w:sz w:val="21"/>
      <w:lang w:val="en-US" w:eastAsia="zh-CN" w:bidi="ar-SA"/>
    </w:rPr>
  </w:style>
  <w:style w:type="character" w:customStyle="1" w:styleId="52">
    <w:name w:val="批注主题 Char"/>
    <w:link w:val="34"/>
    <w:autoRedefine/>
    <w:qFormat/>
    <w:uiPriority w:val="0"/>
    <w:rPr>
      <w:b/>
      <w:bCs/>
      <w:kern w:val="2"/>
      <w:sz w:val="21"/>
      <w:szCs w:val="24"/>
    </w:rPr>
  </w:style>
  <w:style w:type="character" w:customStyle="1" w:styleId="53">
    <w:name w:val="附录公式 Char"/>
    <w:link w:val="54"/>
    <w:autoRedefine/>
    <w:qFormat/>
    <w:uiPriority w:val="0"/>
    <w:rPr>
      <w:lang w:val="en-US" w:eastAsia="zh-CN" w:bidi="ar-SA"/>
    </w:rPr>
  </w:style>
  <w:style w:type="paragraph" w:customStyle="1" w:styleId="54">
    <w:name w:val="附录公式"/>
    <w:basedOn w:val="25"/>
    <w:next w:val="25"/>
    <w:link w:val="53"/>
    <w:qFormat/>
    <w:uiPriority w:val="0"/>
    <w:rPr>
      <w:rFonts w:ascii="Times New Roman"/>
      <w:sz w:val="20"/>
    </w:rPr>
  </w:style>
  <w:style w:type="character" w:customStyle="1" w:styleId="55">
    <w:name w:val="发布"/>
    <w:autoRedefine/>
    <w:qFormat/>
    <w:uiPriority w:val="0"/>
    <w:rPr>
      <w:rFonts w:ascii="黑体" w:eastAsia="黑体"/>
      <w:spacing w:val="85"/>
      <w:w w:val="100"/>
      <w:position w:val="3"/>
      <w:sz w:val="28"/>
      <w:szCs w:val="28"/>
    </w:rPr>
  </w:style>
  <w:style w:type="character" w:customStyle="1" w:styleId="56">
    <w:name w:val="首示例 Char"/>
    <w:link w:val="57"/>
    <w:qFormat/>
    <w:uiPriority w:val="0"/>
    <w:rPr>
      <w:rFonts w:ascii="宋体" w:hAnsi="宋体"/>
      <w:kern w:val="2"/>
      <w:sz w:val="18"/>
      <w:szCs w:val="18"/>
      <w:lang w:val="en-US" w:eastAsia="zh-CN" w:bidi="ar-SA"/>
    </w:rPr>
  </w:style>
  <w:style w:type="paragraph" w:customStyle="1" w:styleId="57">
    <w:name w:val="首示例"/>
    <w:next w:val="25"/>
    <w:link w:val="56"/>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paragraph" w:customStyle="1" w:styleId="58">
    <w:name w:val="注×："/>
    <w:autoRedefine/>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 w:type="paragraph" w:customStyle="1" w:styleId="59">
    <w:name w:val="列项——（一级）"/>
    <w:autoRedefine/>
    <w:qFormat/>
    <w:uiPriority w:val="0"/>
    <w:pPr>
      <w:widowControl w:val="0"/>
      <w:numPr>
        <w:ilvl w:val="0"/>
        <w:numId w:val="5"/>
      </w:numPr>
      <w:jc w:val="both"/>
    </w:pPr>
    <w:rPr>
      <w:rFonts w:ascii="宋体" w:hAnsi="Times New Roman" w:eastAsia="宋体" w:cs="Times New Roman"/>
      <w:sz w:val="21"/>
      <w:lang w:val="en-US" w:eastAsia="zh-CN" w:bidi="ar-SA"/>
    </w:rPr>
  </w:style>
  <w:style w:type="paragraph" w:customStyle="1" w:styleId="60">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61">
    <w:name w:val="三级无"/>
    <w:basedOn w:val="62"/>
    <w:autoRedefine/>
    <w:qFormat/>
    <w:uiPriority w:val="0"/>
    <w:pPr>
      <w:spacing w:beforeLines="0" w:afterLines="0"/>
    </w:pPr>
    <w:rPr>
      <w:rFonts w:ascii="宋体" w:eastAsia="宋体"/>
    </w:rPr>
  </w:style>
  <w:style w:type="paragraph" w:customStyle="1" w:styleId="62">
    <w:name w:val="三级条标题"/>
    <w:basedOn w:val="63"/>
    <w:next w:val="25"/>
    <w:link w:val="65"/>
    <w:autoRedefine/>
    <w:qFormat/>
    <w:uiPriority w:val="99"/>
    <w:pPr>
      <w:numPr>
        <w:ilvl w:val="0"/>
        <w:numId w:val="0"/>
      </w:numPr>
      <w:outlineLvl w:val="4"/>
    </w:pPr>
  </w:style>
  <w:style w:type="paragraph" w:customStyle="1" w:styleId="63">
    <w:name w:val="二级条标题"/>
    <w:basedOn w:val="64"/>
    <w:next w:val="25"/>
    <w:autoRedefine/>
    <w:qFormat/>
    <w:uiPriority w:val="0"/>
    <w:pPr>
      <w:numPr>
        <w:ilvl w:val="2"/>
      </w:numPr>
      <w:spacing w:before="50" w:after="50"/>
      <w:outlineLvl w:val="3"/>
    </w:pPr>
  </w:style>
  <w:style w:type="paragraph" w:customStyle="1" w:styleId="64">
    <w:name w:val="一级条标题"/>
    <w:next w:val="25"/>
    <w:qFormat/>
    <w:uiPriority w:val="0"/>
    <w:pPr>
      <w:numPr>
        <w:ilvl w:val="1"/>
        <w:numId w:val="6"/>
      </w:numPr>
      <w:spacing w:beforeLines="50" w:afterLines="50"/>
      <w:outlineLvl w:val="2"/>
    </w:pPr>
    <w:rPr>
      <w:rFonts w:ascii="黑体" w:hAnsi="Times New Roman" w:eastAsia="黑体" w:cs="Times New Roman"/>
      <w:sz w:val="21"/>
      <w:szCs w:val="21"/>
      <w:lang w:val="en-US" w:eastAsia="zh-CN" w:bidi="ar-SA"/>
    </w:rPr>
  </w:style>
  <w:style w:type="character" w:customStyle="1" w:styleId="65">
    <w:name w:val="三级条标题 Char"/>
    <w:link w:val="62"/>
    <w:qFormat/>
    <w:uiPriority w:val="99"/>
    <w:rPr>
      <w:rFonts w:ascii="黑体" w:eastAsia="黑体"/>
      <w:sz w:val="21"/>
      <w:szCs w:val="21"/>
    </w:rPr>
  </w:style>
  <w:style w:type="paragraph" w:customStyle="1" w:styleId="66">
    <w:name w:val="示例后文字"/>
    <w:basedOn w:val="25"/>
    <w:next w:val="25"/>
    <w:qFormat/>
    <w:uiPriority w:val="0"/>
    <w:pPr>
      <w:ind w:firstLine="360"/>
    </w:pPr>
    <w:rPr>
      <w:sz w:val="18"/>
    </w:rPr>
  </w:style>
  <w:style w:type="paragraph" w:customStyle="1" w:styleId="67">
    <w:name w:val="标准书眉一"/>
    <w:qFormat/>
    <w:uiPriority w:val="0"/>
    <w:pPr>
      <w:jc w:val="both"/>
    </w:pPr>
    <w:rPr>
      <w:rFonts w:ascii="Times New Roman" w:hAnsi="Times New Roman" w:eastAsia="宋体" w:cs="Times New Roman"/>
      <w:lang w:val="en-US" w:eastAsia="zh-CN" w:bidi="ar-SA"/>
    </w:rPr>
  </w:style>
  <w:style w:type="paragraph" w:customStyle="1" w:styleId="68">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69">
    <w:name w:val="图的脚注"/>
    <w:next w:val="25"/>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70">
    <w:name w:val="编号列项（三级）"/>
    <w:qFormat/>
    <w:uiPriority w:val="0"/>
    <w:pPr>
      <w:numPr>
        <w:ilvl w:val="2"/>
        <w:numId w:val="7"/>
      </w:numPr>
    </w:pPr>
    <w:rPr>
      <w:rFonts w:ascii="宋体" w:hAnsi="Times New Roman" w:eastAsia="宋体" w:cs="Times New Roman"/>
      <w:sz w:val="21"/>
      <w:lang w:val="en-US" w:eastAsia="zh-CN" w:bidi="ar-SA"/>
    </w:rPr>
  </w:style>
  <w:style w:type="paragraph" w:customStyle="1" w:styleId="71">
    <w:name w:val="附录图标题"/>
    <w:basedOn w:val="1"/>
    <w:next w:val="25"/>
    <w:qFormat/>
    <w:uiPriority w:val="0"/>
    <w:pPr>
      <w:numPr>
        <w:ilvl w:val="1"/>
        <w:numId w:val="8"/>
      </w:numPr>
      <w:tabs>
        <w:tab w:val="left" w:pos="363"/>
      </w:tabs>
      <w:spacing w:beforeLines="50" w:afterLines="50"/>
      <w:ind w:left="0" w:firstLine="0"/>
      <w:jc w:val="center"/>
    </w:pPr>
    <w:rPr>
      <w:rFonts w:ascii="黑体" w:eastAsia="黑体"/>
      <w:szCs w:val="21"/>
    </w:rPr>
  </w:style>
  <w:style w:type="paragraph" w:customStyle="1" w:styleId="72">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74">
    <w:name w:val="条文脚注"/>
    <w:basedOn w:val="26"/>
    <w:uiPriority w:val="0"/>
    <w:pPr>
      <w:numPr>
        <w:numId w:val="0"/>
      </w:numPr>
      <w:jc w:val="both"/>
    </w:pPr>
  </w:style>
  <w:style w:type="paragraph" w:customStyle="1" w:styleId="75">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6">
    <w:name w:val="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77">
    <w:name w:val="附录三级条标题"/>
    <w:basedOn w:val="78"/>
    <w:next w:val="25"/>
    <w:autoRedefine/>
    <w:qFormat/>
    <w:uiPriority w:val="0"/>
    <w:pPr>
      <w:numPr>
        <w:ilvl w:val="4"/>
      </w:numPr>
      <w:tabs>
        <w:tab w:val="left" w:pos="360"/>
      </w:tabs>
      <w:outlineLvl w:val="4"/>
    </w:pPr>
  </w:style>
  <w:style w:type="paragraph" w:customStyle="1" w:styleId="78">
    <w:name w:val="附录二级条标题"/>
    <w:basedOn w:val="1"/>
    <w:next w:val="25"/>
    <w:autoRedefine/>
    <w:qFormat/>
    <w:uiPriority w:val="0"/>
    <w:pPr>
      <w:widowControl/>
      <w:numPr>
        <w:ilvl w:val="3"/>
        <w:numId w:val="9"/>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79">
    <w:name w:val="一级无"/>
    <w:basedOn w:val="64"/>
    <w:qFormat/>
    <w:uiPriority w:val="0"/>
    <w:pPr>
      <w:spacing w:beforeLines="0" w:afterLines="0"/>
    </w:pPr>
    <w:rPr>
      <w:rFonts w:ascii="宋体" w:eastAsia="宋体"/>
    </w:rPr>
  </w:style>
  <w:style w:type="paragraph" w:customStyle="1" w:styleId="80">
    <w:name w:val="参考文献"/>
    <w:basedOn w:val="1"/>
    <w:next w:val="25"/>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1">
    <w:name w:val="数字编号列项（二级）"/>
    <w:autoRedefine/>
    <w:qFormat/>
    <w:uiPriority w:val="0"/>
    <w:pPr>
      <w:numPr>
        <w:ilvl w:val="1"/>
        <w:numId w:val="7"/>
      </w:numPr>
      <w:jc w:val="both"/>
    </w:pPr>
    <w:rPr>
      <w:rFonts w:ascii="宋体" w:hAnsi="Times New Roman" w:eastAsia="宋体" w:cs="Times New Roman"/>
      <w:sz w:val="21"/>
      <w:lang w:val="en-US" w:eastAsia="zh-CN" w:bidi="ar-SA"/>
    </w:rPr>
  </w:style>
  <w:style w:type="paragraph" w:customStyle="1" w:styleId="82">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83">
    <w:name w:val="示例"/>
    <w:next w:val="82"/>
    <w:qFormat/>
    <w:uiPriority w:val="0"/>
    <w:pPr>
      <w:widowControl w:val="0"/>
      <w:numPr>
        <w:ilvl w:val="0"/>
        <w:numId w:val="10"/>
      </w:numPr>
      <w:jc w:val="both"/>
    </w:pPr>
    <w:rPr>
      <w:rFonts w:ascii="宋体" w:hAnsi="Times New Roman" w:eastAsia="宋体" w:cs="Times New Roman"/>
      <w:sz w:val="18"/>
      <w:szCs w:val="18"/>
      <w:lang w:val="en-US" w:eastAsia="zh-CN" w:bidi="ar-SA"/>
    </w:rPr>
  </w:style>
  <w:style w:type="paragraph" w:customStyle="1" w:styleId="84">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85">
    <w:name w:val="附录标题"/>
    <w:basedOn w:val="25"/>
    <w:next w:val="25"/>
    <w:qFormat/>
    <w:uiPriority w:val="0"/>
    <w:pPr>
      <w:ind w:firstLine="0" w:firstLineChars="0"/>
      <w:jc w:val="center"/>
    </w:pPr>
    <w:rPr>
      <w:rFonts w:ascii="黑体" w:eastAsia="黑体"/>
    </w:rPr>
  </w:style>
  <w:style w:type="paragraph" w:customStyle="1" w:styleId="86">
    <w:name w:val="附录四级条标题"/>
    <w:basedOn w:val="77"/>
    <w:next w:val="25"/>
    <w:autoRedefine/>
    <w:qFormat/>
    <w:uiPriority w:val="0"/>
    <w:pPr>
      <w:numPr>
        <w:ilvl w:val="5"/>
      </w:numPr>
      <w:outlineLvl w:val="5"/>
    </w:pPr>
  </w:style>
  <w:style w:type="paragraph" w:customStyle="1" w:styleId="8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88">
    <w:name w:val="封面标准英文名称"/>
    <w:basedOn w:val="75"/>
    <w:qFormat/>
    <w:uiPriority w:val="0"/>
    <w:pPr>
      <w:framePr w:wrap="around"/>
      <w:spacing w:before="370" w:line="400" w:lineRule="exact"/>
    </w:pPr>
    <w:rPr>
      <w:rFonts w:ascii="Times New Roman"/>
      <w:sz w:val="28"/>
      <w:szCs w:val="28"/>
    </w:rPr>
  </w:style>
  <w:style w:type="paragraph" w:customStyle="1" w:styleId="8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90">
    <w:name w:val="封面标准英文名称2"/>
    <w:basedOn w:val="88"/>
    <w:autoRedefine/>
    <w:qFormat/>
    <w:uiPriority w:val="0"/>
    <w:pPr>
      <w:framePr w:wrap="around" w:y="4469"/>
    </w:pPr>
  </w:style>
  <w:style w:type="paragraph" w:customStyle="1" w:styleId="91">
    <w:name w:val="附录四级无"/>
    <w:basedOn w:val="86"/>
    <w:qFormat/>
    <w:uiPriority w:val="0"/>
    <w:pPr>
      <w:tabs>
        <w:tab w:val="clear" w:pos="360"/>
      </w:tabs>
      <w:spacing w:beforeLines="0" w:afterLines="0"/>
    </w:pPr>
    <w:rPr>
      <w:rFonts w:ascii="宋体" w:eastAsia="宋体"/>
      <w:szCs w:val="21"/>
    </w:rPr>
  </w:style>
  <w:style w:type="paragraph" w:customStyle="1" w:styleId="92">
    <w:name w:val="目次、标准名称标题"/>
    <w:basedOn w:val="1"/>
    <w:next w:val="25"/>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93">
    <w:name w:val="附录表标题"/>
    <w:basedOn w:val="1"/>
    <w:next w:val="25"/>
    <w:autoRedefine/>
    <w:qFormat/>
    <w:uiPriority w:val="0"/>
    <w:pPr>
      <w:numPr>
        <w:ilvl w:val="1"/>
        <w:numId w:val="11"/>
      </w:numPr>
      <w:tabs>
        <w:tab w:val="left" w:pos="180"/>
      </w:tabs>
      <w:spacing w:beforeLines="50" w:afterLines="50"/>
      <w:ind w:left="0" w:firstLine="0"/>
      <w:jc w:val="center"/>
    </w:pPr>
    <w:rPr>
      <w:rFonts w:ascii="黑体" w:eastAsia="黑体"/>
      <w:szCs w:val="21"/>
    </w:rPr>
  </w:style>
  <w:style w:type="paragraph" w:customStyle="1" w:styleId="94">
    <w:name w:val="封面标准号1"/>
    <w:autoRedefine/>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5">
    <w:name w:val="封面标准文稿编辑信息2"/>
    <w:basedOn w:val="96"/>
    <w:autoRedefine/>
    <w:qFormat/>
    <w:uiPriority w:val="0"/>
    <w:pPr>
      <w:framePr w:wrap="around" w:y="4469"/>
    </w:pPr>
  </w:style>
  <w:style w:type="paragraph" w:customStyle="1" w:styleId="96">
    <w:name w:val="封面标准文稿编辑信息"/>
    <w:basedOn w:val="97"/>
    <w:autoRedefine/>
    <w:qFormat/>
    <w:uiPriority w:val="0"/>
    <w:pPr>
      <w:framePr w:wrap="around"/>
      <w:spacing w:before="180" w:line="180" w:lineRule="exact"/>
    </w:pPr>
    <w:rPr>
      <w:sz w:val="21"/>
    </w:rPr>
  </w:style>
  <w:style w:type="paragraph" w:customStyle="1" w:styleId="97">
    <w:name w:val="封面标准文稿类别"/>
    <w:basedOn w:val="98"/>
    <w:autoRedefine/>
    <w:qFormat/>
    <w:uiPriority w:val="0"/>
    <w:pPr>
      <w:framePr w:wrap="around"/>
      <w:spacing w:after="160" w:line="240" w:lineRule="auto"/>
    </w:pPr>
    <w:rPr>
      <w:sz w:val="24"/>
    </w:rPr>
  </w:style>
  <w:style w:type="paragraph" w:customStyle="1" w:styleId="98">
    <w:name w:val="封面一致性程度标识"/>
    <w:basedOn w:val="88"/>
    <w:qFormat/>
    <w:uiPriority w:val="0"/>
    <w:pPr>
      <w:framePr w:wrap="around"/>
      <w:spacing w:before="440"/>
    </w:pPr>
    <w:rPr>
      <w:rFonts w:ascii="宋体" w:eastAsia="宋体"/>
    </w:rPr>
  </w:style>
  <w:style w:type="paragraph" w:customStyle="1" w:styleId="99">
    <w:name w:val="五级条标题"/>
    <w:basedOn w:val="100"/>
    <w:next w:val="25"/>
    <w:autoRedefine/>
    <w:qFormat/>
    <w:uiPriority w:val="0"/>
    <w:pPr>
      <w:numPr>
        <w:ilvl w:val="5"/>
      </w:numPr>
      <w:outlineLvl w:val="6"/>
    </w:pPr>
  </w:style>
  <w:style w:type="paragraph" w:customStyle="1" w:styleId="100">
    <w:name w:val="四级条标题"/>
    <w:basedOn w:val="62"/>
    <w:next w:val="25"/>
    <w:qFormat/>
    <w:uiPriority w:val="0"/>
    <w:pPr>
      <w:numPr>
        <w:ilvl w:val="4"/>
      </w:numPr>
      <w:outlineLvl w:val="5"/>
    </w:pPr>
  </w:style>
  <w:style w:type="paragraph" w:customStyle="1" w:styleId="101">
    <w:name w:val="正文表标题"/>
    <w:next w:val="25"/>
    <w:qFormat/>
    <w:uiPriority w:val="0"/>
    <w:pPr>
      <w:numPr>
        <w:ilvl w:val="0"/>
        <w:numId w:val="1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02">
    <w:name w:val="附录一级无"/>
    <w:basedOn w:val="103"/>
    <w:qFormat/>
    <w:uiPriority w:val="0"/>
    <w:pPr>
      <w:tabs>
        <w:tab w:val="left" w:pos="360"/>
      </w:tabs>
      <w:spacing w:beforeLines="0" w:afterLines="0"/>
    </w:pPr>
    <w:rPr>
      <w:rFonts w:ascii="宋体" w:eastAsia="宋体"/>
      <w:szCs w:val="21"/>
    </w:rPr>
  </w:style>
  <w:style w:type="paragraph" w:customStyle="1" w:styleId="103">
    <w:name w:val="附录一级条标题"/>
    <w:basedOn w:val="104"/>
    <w:next w:val="25"/>
    <w:qFormat/>
    <w:uiPriority w:val="0"/>
    <w:pPr>
      <w:numPr>
        <w:ilvl w:val="0"/>
        <w:numId w:val="0"/>
      </w:numPr>
      <w:tabs>
        <w:tab w:val="left" w:pos="360"/>
      </w:tabs>
      <w:autoSpaceDN w:val="0"/>
      <w:spacing w:beforeLines="50" w:afterLines="50"/>
      <w:outlineLvl w:val="2"/>
    </w:pPr>
  </w:style>
  <w:style w:type="paragraph" w:customStyle="1" w:styleId="104">
    <w:name w:val="附录章标题"/>
    <w:next w:val="25"/>
    <w:autoRedefine/>
    <w:qFormat/>
    <w:uiPriority w:val="0"/>
    <w:pPr>
      <w:numPr>
        <w:ilvl w:val="1"/>
        <w:numId w:val="9"/>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5">
    <w:name w:val="图表脚注说明"/>
    <w:basedOn w:val="1"/>
    <w:autoRedefine/>
    <w:qFormat/>
    <w:uiPriority w:val="0"/>
    <w:pPr>
      <w:numPr>
        <w:ilvl w:val="0"/>
        <w:numId w:val="13"/>
      </w:numPr>
    </w:pPr>
    <w:rPr>
      <w:rFonts w:ascii="宋体"/>
      <w:sz w:val="18"/>
      <w:szCs w:val="18"/>
    </w:rPr>
  </w:style>
  <w:style w:type="paragraph" w:customStyle="1" w:styleId="106">
    <w:name w:val="附录标识"/>
    <w:basedOn w:val="1"/>
    <w:next w:val="25"/>
    <w:autoRedefine/>
    <w:qFormat/>
    <w:uiPriority w:val="0"/>
    <w:pPr>
      <w:keepNext/>
      <w:widowControl/>
      <w:numPr>
        <w:ilvl w:val="0"/>
        <w:numId w:val="9"/>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07">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108">
    <w:name w:val="二级无"/>
    <w:basedOn w:val="63"/>
    <w:autoRedefine/>
    <w:qFormat/>
    <w:uiPriority w:val="0"/>
    <w:pPr>
      <w:spacing w:beforeLines="0" w:afterLines="0"/>
    </w:pPr>
    <w:rPr>
      <w:rFonts w:ascii="宋体" w:eastAsia="宋体"/>
    </w:rPr>
  </w:style>
  <w:style w:type="paragraph" w:customStyle="1" w:styleId="109">
    <w:name w:val="前言、引言标题"/>
    <w:next w:val="25"/>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0">
    <w:name w:val="附录三级无"/>
    <w:basedOn w:val="77"/>
    <w:autoRedefine/>
    <w:qFormat/>
    <w:uiPriority w:val="0"/>
    <w:pPr>
      <w:tabs>
        <w:tab w:val="clear" w:pos="360"/>
      </w:tabs>
      <w:spacing w:beforeLines="0" w:afterLines="0"/>
    </w:pPr>
    <w:rPr>
      <w:rFonts w:ascii="宋体" w:eastAsia="宋体"/>
      <w:szCs w:val="21"/>
    </w:rPr>
  </w:style>
  <w:style w:type="paragraph" w:customStyle="1" w:styleId="111">
    <w:name w:val="附录字母编号列项（一级）"/>
    <w:autoRedefine/>
    <w:qFormat/>
    <w:uiPriority w:val="0"/>
    <w:pPr>
      <w:numPr>
        <w:ilvl w:val="0"/>
        <w:numId w:val="14"/>
      </w:numPr>
    </w:pPr>
    <w:rPr>
      <w:rFonts w:ascii="宋体" w:hAnsi="Times New Roman" w:eastAsia="宋体" w:cs="Times New Roman"/>
      <w:sz w:val="21"/>
      <w:lang w:val="en-US" w:eastAsia="zh-CN" w:bidi="ar-SA"/>
    </w:rPr>
  </w:style>
  <w:style w:type="paragraph" w:customStyle="1" w:styleId="11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13">
    <w:name w:val="其他发布部门"/>
    <w:basedOn w:val="68"/>
    <w:autoRedefine/>
    <w:qFormat/>
    <w:uiPriority w:val="0"/>
    <w:pPr>
      <w:framePr w:wrap="around" w:y="15310"/>
      <w:spacing w:line="0" w:lineRule="atLeast"/>
    </w:pPr>
    <w:rPr>
      <w:rFonts w:ascii="黑体" w:eastAsia="黑体"/>
      <w:b w:val="0"/>
    </w:rPr>
  </w:style>
  <w:style w:type="paragraph" w:customStyle="1" w:styleId="114">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15">
    <w:name w:val="正文公式编号制表符"/>
    <w:basedOn w:val="25"/>
    <w:next w:val="25"/>
    <w:autoRedefine/>
    <w:qFormat/>
    <w:uiPriority w:val="0"/>
    <w:pPr>
      <w:ind w:firstLine="0" w:firstLineChars="0"/>
    </w:pPr>
  </w:style>
  <w:style w:type="paragraph" w:customStyle="1" w:styleId="116">
    <w:name w:val="附录五级无"/>
    <w:basedOn w:val="117"/>
    <w:qFormat/>
    <w:uiPriority w:val="0"/>
    <w:pPr>
      <w:tabs>
        <w:tab w:val="left" w:pos="360"/>
      </w:tabs>
      <w:spacing w:beforeLines="0" w:afterLines="0"/>
    </w:pPr>
    <w:rPr>
      <w:rFonts w:ascii="宋体" w:eastAsia="宋体"/>
      <w:szCs w:val="21"/>
    </w:rPr>
  </w:style>
  <w:style w:type="paragraph" w:customStyle="1" w:styleId="117">
    <w:name w:val="附录五级条标题"/>
    <w:basedOn w:val="86"/>
    <w:next w:val="25"/>
    <w:autoRedefine/>
    <w:qFormat/>
    <w:uiPriority w:val="0"/>
    <w:pPr>
      <w:numPr>
        <w:ilvl w:val="0"/>
        <w:numId w:val="0"/>
      </w:numPr>
      <w:outlineLvl w:val="6"/>
    </w:pPr>
  </w:style>
  <w:style w:type="paragraph" w:customStyle="1" w:styleId="118">
    <w:name w:val="图标脚注说明"/>
    <w:basedOn w:val="25"/>
    <w:autoRedefine/>
    <w:qFormat/>
    <w:uiPriority w:val="0"/>
    <w:pPr>
      <w:ind w:left="840" w:hanging="420" w:firstLineChars="0"/>
    </w:pPr>
    <w:rPr>
      <w:sz w:val="18"/>
      <w:szCs w:val="18"/>
    </w:rPr>
  </w:style>
  <w:style w:type="paragraph" w:customStyle="1" w:styleId="119">
    <w:name w:val="参考文献、索引标题"/>
    <w:basedOn w:val="1"/>
    <w:next w:val="25"/>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20">
    <w:name w:val="其他发布日期"/>
    <w:basedOn w:val="121"/>
    <w:autoRedefine/>
    <w:qFormat/>
    <w:uiPriority w:val="0"/>
    <w:pPr>
      <w:framePr w:wrap="around" w:vAnchor="page" w:hAnchor="text" w:x="1419"/>
    </w:pPr>
  </w:style>
  <w:style w:type="paragraph" w:customStyle="1" w:styleId="121">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22">
    <w:name w:val="附录数字编号列项（二级）"/>
    <w:autoRedefine/>
    <w:qFormat/>
    <w:uiPriority w:val="0"/>
    <w:pPr>
      <w:numPr>
        <w:ilvl w:val="1"/>
        <w:numId w:val="14"/>
      </w:numPr>
    </w:pPr>
    <w:rPr>
      <w:rFonts w:ascii="宋体" w:hAnsi="Times New Roman" w:eastAsia="宋体" w:cs="Times New Roman"/>
      <w:sz w:val="21"/>
      <w:lang w:val="en-US" w:eastAsia="zh-CN" w:bidi="ar-SA"/>
    </w:rPr>
  </w:style>
  <w:style w:type="paragraph" w:customStyle="1" w:styleId="123">
    <w:name w:val="附录二级无"/>
    <w:basedOn w:val="78"/>
    <w:autoRedefine/>
    <w:qFormat/>
    <w:uiPriority w:val="0"/>
    <w:pPr>
      <w:tabs>
        <w:tab w:val="clear" w:pos="360"/>
      </w:tabs>
      <w:spacing w:beforeLines="0" w:afterLines="0"/>
    </w:pPr>
    <w:rPr>
      <w:rFonts w:ascii="宋体" w:eastAsia="宋体"/>
      <w:szCs w:val="21"/>
    </w:rPr>
  </w:style>
  <w:style w:type="paragraph" w:customStyle="1" w:styleId="124">
    <w:name w:val="正文图标题"/>
    <w:next w:val="25"/>
    <w:autoRedefine/>
    <w:qFormat/>
    <w:uiPriority w:val="0"/>
    <w:pPr>
      <w:numPr>
        <w:ilvl w:val="0"/>
        <w:numId w:val="15"/>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5">
    <w:name w:val="附录表标号"/>
    <w:basedOn w:val="1"/>
    <w:next w:val="25"/>
    <w:autoRedefine/>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126">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27">
    <w:name w:val="五级无"/>
    <w:basedOn w:val="99"/>
    <w:autoRedefine/>
    <w:qFormat/>
    <w:uiPriority w:val="0"/>
    <w:pPr>
      <w:spacing w:beforeLines="0" w:afterLines="0"/>
    </w:pPr>
    <w:rPr>
      <w:rFonts w:ascii="宋体" w:eastAsia="宋体"/>
    </w:rPr>
  </w:style>
  <w:style w:type="paragraph" w:customStyle="1" w:styleId="128">
    <w:name w:val="实施日期"/>
    <w:basedOn w:val="121"/>
    <w:autoRedefine/>
    <w:qFormat/>
    <w:uiPriority w:val="0"/>
    <w:pPr>
      <w:framePr w:wrap="around" w:vAnchor="page" w:hAnchor="text"/>
      <w:jc w:val="right"/>
    </w:pPr>
  </w:style>
  <w:style w:type="paragraph" w:customStyle="1" w:styleId="129">
    <w:name w:val="封面标准名称2"/>
    <w:basedOn w:val="75"/>
    <w:autoRedefine/>
    <w:qFormat/>
    <w:uiPriority w:val="0"/>
    <w:pPr>
      <w:framePr w:wrap="around" w:y="4469"/>
      <w:spacing w:beforeLines="630"/>
    </w:pPr>
  </w:style>
  <w:style w:type="paragraph" w:customStyle="1" w:styleId="130">
    <w:name w:val="封面一致性程度标识2"/>
    <w:basedOn w:val="98"/>
    <w:autoRedefine/>
    <w:qFormat/>
    <w:uiPriority w:val="0"/>
    <w:pPr>
      <w:framePr w:wrap="around" w:y="4469"/>
    </w:pPr>
  </w:style>
  <w:style w:type="paragraph" w:customStyle="1" w:styleId="131">
    <w:name w:val="章标题"/>
    <w:next w:val="25"/>
    <w:autoRedefine/>
    <w:qFormat/>
    <w:uiPriority w:val="0"/>
    <w:pPr>
      <w:numPr>
        <w:ilvl w:val="0"/>
        <w:numId w:val="6"/>
      </w:numPr>
      <w:spacing w:beforeLines="100" w:afterLines="100"/>
      <w:jc w:val="both"/>
      <w:outlineLvl w:val="1"/>
    </w:pPr>
    <w:rPr>
      <w:rFonts w:ascii="黑体" w:hAnsi="Times New Roman" w:eastAsia="黑体" w:cs="Times New Roman"/>
      <w:sz w:val="21"/>
      <w:lang w:val="en-US" w:eastAsia="zh-CN" w:bidi="ar-SA"/>
    </w:rPr>
  </w:style>
  <w:style w:type="paragraph" w:customStyle="1" w:styleId="132">
    <w:name w:val="标准书眉_偶数页"/>
    <w:basedOn w:val="73"/>
    <w:next w:val="1"/>
    <w:autoRedefine/>
    <w:qFormat/>
    <w:uiPriority w:val="0"/>
    <w:pPr>
      <w:jc w:val="left"/>
    </w:pPr>
  </w:style>
  <w:style w:type="paragraph" w:customStyle="1" w:styleId="133">
    <w:name w:val="四级无"/>
    <w:basedOn w:val="100"/>
    <w:autoRedefine/>
    <w:qFormat/>
    <w:uiPriority w:val="0"/>
    <w:pPr>
      <w:spacing w:beforeLines="0" w:afterLines="0"/>
    </w:pPr>
    <w:rPr>
      <w:rFonts w:ascii="宋体" w:eastAsia="宋体"/>
    </w:rPr>
  </w:style>
  <w:style w:type="paragraph" w:customStyle="1" w:styleId="134">
    <w:name w:val="注×：（正文）"/>
    <w:autoRedefine/>
    <w:qFormat/>
    <w:uiPriority w:val="0"/>
    <w:pPr>
      <w:numPr>
        <w:ilvl w:val="0"/>
        <w:numId w:val="16"/>
      </w:numPr>
      <w:jc w:val="both"/>
    </w:pPr>
    <w:rPr>
      <w:rFonts w:ascii="宋体" w:hAnsi="Times New Roman" w:eastAsia="宋体" w:cs="Times New Roman"/>
      <w:sz w:val="18"/>
      <w:szCs w:val="18"/>
      <w:lang w:val="en-US" w:eastAsia="zh-CN" w:bidi="ar-SA"/>
    </w:rPr>
  </w:style>
  <w:style w:type="paragraph" w:customStyle="1" w:styleId="135">
    <w:name w:val="列项●（二级）"/>
    <w:autoRedefine/>
    <w:qFormat/>
    <w:uiPriority w:val="0"/>
    <w:pPr>
      <w:numPr>
        <w:ilvl w:val="1"/>
        <w:numId w:val="5"/>
      </w:numPr>
      <w:tabs>
        <w:tab w:val="left" w:pos="840"/>
      </w:tabs>
      <w:jc w:val="both"/>
    </w:pPr>
    <w:rPr>
      <w:rFonts w:ascii="宋体" w:hAnsi="Times New Roman" w:eastAsia="宋体" w:cs="Times New Roman"/>
      <w:sz w:val="21"/>
      <w:lang w:val="en-US" w:eastAsia="zh-CN" w:bidi="ar-SA"/>
    </w:rPr>
  </w:style>
  <w:style w:type="paragraph" w:customStyle="1" w:styleId="136">
    <w:name w:val="示例×："/>
    <w:basedOn w:val="131"/>
    <w:autoRedefine/>
    <w:qFormat/>
    <w:uiPriority w:val="0"/>
    <w:pPr>
      <w:numPr>
        <w:numId w:val="17"/>
      </w:numPr>
      <w:spacing w:beforeLines="0" w:afterLines="0"/>
      <w:outlineLvl w:val="9"/>
    </w:pPr>
    <w:rPr>
      <w:rFonts w:ascii="宋体" w:eastAsia="宋体"/>
      <w:sz w:val="18"/>
      <w:szCs w:val="18"/>
    </w:rPr>
  </w:style>
  <w:style w:type="paragraph" w:customStyle="1" w:styleId="137">
    <w:name w:val="其他标准标志"/>
    <w:basedOn w:val="114"/>
    <w:autoRedefine/>
    <w:qFormat/>
    <w:uiPriority w:val="0"/>
    <w:pPr>
      <w:framePr w:w="6101" w:wrap="around" w:vAnchor="page" w:hAnchor="page" w:x="4673" w:y="942"/>
    </w:pPr>
    <w:rPr>
      <w:w w:val="130"/>
    </w:rPr>
  </w:style>
  <w:style w:type="paragraph" w:customStyle="1" w:styleId="138">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39">
    <w:name w:val="注："/>
    <w:next w:val="25"/>
    <w:autoRedefine/>
    <w:qFormat/>
    <w:uiPriority w:val="0"/>
    <w:pPr>
      <w:widowControl w:val="0"/>
      <w:numPr>
        <w:ilvl w:val="0"/>
        <w:numId w:val="18"/>
      </w:numPr>
      <w:autoSpaceDE w:val="0"/>
      <w:autoSpaceDN w:val="0"/>
      <w:jc w:val="both"/>
    </w:pPr>
    <w:rPr>
      <w:rFonts w:ascii="宋体" w:hAnsi="Times New Roman" w:eastAsia="宋体" w:cs="Times New Roman"/>
      <w:sz w:val="18"/>
      <w:szCs w:val="18"/>
      <w:lang w:val="en-US" w:eastAsia="zh-CN" w:bidi="ar-SA"/>
    </w:rPr>
  </w:style>
  <w:style w:type="paragraph" w:customStyle="1" w:styleId="140">
    <w:name w:val="其他实施日期"/>
    <w:basedOn w:val="128"/>
    <w:autoRedefine/>
    <w:qFormat/>
    <w:uiPriority w:val="0"/>
    <w:pPr>
      <w:framePr w:wrap="around"/>
    </w:pPr>
  </w:style>
  <w:style w:type="paragraph" w:customStyle="1" w:styleId="141">
    <w:name w:val="附录图标号"/>
    <w:basedOn w:val="1"/>
    <w:autoRedefine/>
    <w:qFormat/>
    <w:uiPriority w:val="0"/>
    <w:pPr>
      <w:keepNext/>
      <w:pageBreakBefore/>
      <w:widowControl/>
      <w:numPr>
        <w:ilvl w:val="0"/>
        <w:numId w:val="8"/>
      </w:numPr>
      <w:spacing w:line="14" w:lineRule="exact"/>
      <w:ind w:left="0" w:firstLine="363"/>
      <w:jc w:val="center"/>
      <w:outlineLvl w:val="0"/>
    </w:pPr>
    <w:rPr>
      <w:color w:val="FFFFFF"/>
    </w:rPr>
  </w:style>
  <w:style w:type="paragraph" w:customStyle="1" w:styleId="142">
    <w:name w:val="段 Char Char"/>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43">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44">
    <w:name w:val="终结线"/>
    <w:basedOn w:val="1"/>
    <w:autoRedefine/>
    <w:qFormat/>
    <w:uiPriority w:val="0"/>
    <w:pPr>
      <w:framePr w:hSpace="181" w:vSpace="181" w:wrap="around" w:vAnchor="text" w:hAnchor="margin" w:xAlign="center" w:y="285"/>
    </w:pPr>
  </w:style>
  <w:style w:type="paragraph" w:customStyle="1" w:styleId="145">
    <w:name w:val="附录公式编号制表符"/>
    <w:basedOn w:val="1"/>
    <w:next w:val="25"/>
    <w:qFormat/>
    <w:uiPriority w:val="0"/>
    <w:pPr>
      <w:widowControl/>
      <w:tabs>
        <w:tab w:val="center" w:pos="4201"/>
        <w:tab w:val="right" w:leader="dot" w:pos="9298"/>
      </w:tabs>
      <w:autoSpaceDE w:val="0"/>
      <w:autoSpaceDN w:val="0"/>
    </w:pPr>
    <w:rPr>
      <w:rFonts w:ascii="宋体"/>
      <w:kern w:val="0"/>
      <w:szCs w:val="20"/>
    </w:rPr>
  </w:style>
  <w:style w:type="paragraph" w:customStyle="1" w:styleId="146">
    <w:name w:val="封面正文"/>
    <w:autoRedefine/>
    <w:qFormat/>
    <w:uiPriority w:val="0"/>
    <w:pPr>
      <w:jc w:val="both"/>
    </w:pPr>
    <w:rPr>
      <w:rFonts w:ascii="Times New Roman" w:hAnsi="Times New Roman" w:eastAsia="宋体" w:cs="Times New Roman"/>
      <w:lang w:val="en-US" w:eastAsia="zh-CN" w:bidi="ar-SA"/>
    </w:rPr>
  </w:style>
  <w:style w:type="paragraph" w:customStyle="1" w:styleId="147">
    <w:name w:val="注：（正文）"/>
    <w:basedOn w:val="139"/>
    <w:next w:val="25"/>
    <w:qFormat/>
    <w:uiPriority w:val="0"/>
  </w:style>
  <w:style w:type="paragraph" w:customStyle="1" w:styleId="148">
    <w:name w:val="封面标准文稿类别2"/>
    <w:basedOn w:val="97"/>
    <w:autoRedefine/>
    <w:qFormat/>
    <w:uiPriority w:val="0"/>
    <w:pPr>
      <w:framePr w:wrap="around" w:y="4469"/>
    </w:pPr>
  </w:style>
  <w:style w:type="paragraph" w:customStyle="1" w:styleId="149">
    <w:name w:val="Char Char Char Char Char Char Char"/>
    <w:basedOn w:val="1"/>
    <w:autoRedefine/>
    <w:qFormat/>
    <w:uiPriority w:val="0"/>
  </w:style>
  <w:style w:type="paragraph" w:customStyle="1" w:styleId="150">
    <w:name w:val="列项◆（三级）"/>
    <w:basedOn w:val="1"/>
    <w:qFormat/>
    <w:uiPriority w:val="0"/>
    <w:pPr>
      <w:numPr>
        <w:ilvl w:val="2"/>
        <w:numId w:val="5"/>
      </w:numPr>
    </w:pPr>
    <w:rPr>
      <w:rFonts w:ascii="宋体"/>
      <w:szCs w:val="21"/>
    </w:rPr>
  </w:style>
  <w:style w:type="character" w:customStyle="1" w:styleId="151">
    <w:name w:val="fw2"/>
    <w:autoRedefine/>
    <w:qFormat/>
    <w:uiPriority w:val="0"/>
  </w:style>
  <w:style w:type="paragraph" w:customStyle="1" w:styleId="15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53">
    <w:name w:val="List Paragraph"/>
    <w:basedOn w:val="1"/>
    <w:link w:val="154"/>
    <w:qFormat/>
    <w:uiPriority w:val="34"/>
    <w:pPr>
      <w:ind w:firstLine="420" w:firstLineChars="200"/>
    </w:pPr>
    <w:rPr>
      <w:rFonts w:ascii="Calibri" w:hAnsi="Calibri"/>
      <w:szCs w:val="22"/>
    </w:rPr>
  </w:style>
  <w:style w:type="character" w:customStyle="1" w:styleId="154">
    <w:name w:val="列出段落 Char"/>
    <w:link w:val="153"/>
    <w:qFormat/>
    <w:uiPriority w:val="34"/>
    <w:rPr>
      <w:rFonts w:ascii="Calibri" w:hAnsi="Calibri"/>
      <w:kern w:val="2"/>
      <w:sz w:val="21"/>
      <w:szCs w:val="22"/>
    </w:rPr>
  </w:style>
  <w:style w:type="character" w:customStyle="1" w:styleId="155">
    <w:name w:val="A12"/>
    <w:autoRedefine/>
    <w:qFormat/>
    <w:uiPriority w:val="99"/>
    <w:rPr>
      <w:rFonts w:cs="Helvetica"/>
      <w:color w:val="000000"/>
      <w:sz w:val="19"/>
      <w:szCs w:val="19"/>
    </w:rPr>
  </w:style>
  <w:style w:type="paragraph" w:customStyle="1" w:styleId="156">
    <w:name w:val="xl93"/>
    <w:basedOn w:val="1"/>
    <w:autoRedefine/>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cs="宋体"/>
      <w:b/>
      <w:bCs/>
      <w:kern w:val="0"/>
      <w:sz w:val="20"/>
      <w:szCs w:val="20"/>
    </w:rPr>
  </w:style>
  <w:style w:type="character" w:customStyle="1" w:styleId="157">
    <w:name w:val="批注文字 Char1"/>
    <w:semiHidden/>
    <w:qFormat/>
    <w:uiPriority w:val="0"/>
    <w:rPr>
      <w:kern w:val="2"/>
      <w:sz w:val="21"/>
      <w:szCs w:val="24"/>
    </w:rPr>
  </w:style>
  <w:style w:type="paragraph" w:customStyle="1" w:styleId="158">
    <w:name w:val="标题3"/>
    <w:basedOn w:val="153"/>
    <w:autoRedefine/>
    <w:qFormat/>
    <w:uiPriority w:val="1"/>
    <w:pPr>
      <w:widowControl/>
      <w:numPr>
        <w:ilvl w:val="2"/>
        <w:numId w:val="19"/>
      </w:numPr>
      <w:spacing w:beforeLines="50" w:afterLines="50" w:line="360" w:lineRule="auto"/>
      <w:ind w:firstLine="0" w:firstLineChars="0"/>
      <w:jc w:val="left"/>
      <w:outlineLvl w:val="1"/>
    </w:pPr>
    <w:rPr>
      <w:rFonts w:ascii="宋体" w:hAnsi="宋体"/>
      <w:b/>
      <w:iCs/>
      <w:color w:val="000000"/>
      <w:kern w:val="0"/>
      <w:sz w:val="24"/>
      <w:szCs w:val="24"/>
    </w:rPr>
  </w:style>
  <w:style w:type="paragraph" w:customStyle="1" w:styleId="159">
    <w:name w:val="一级条标题新"/>
    <w:basedOn w:val="131"/>
    <w:next w:val="25"/>
    <w:autoRedefine/>
    <w:qFormat/>
    <w:uiPriority w:val="1"/>
    <w:pPr>
      <w:tabs>
        <w:tab w:val="left" w:pos="220"/>
        <w:tab w:val="left" w:pos="440"/>
      </w:tabs>
      <w:spacing w:beforeLines="50" w:afterLines="50"/>
      <w:jc w:val="left"/>
    </w:pPr>
    <w:rPr>
      <w:bCs/>
      <w:color w:val="000000"/>
      <w:szCs w:val="21"/>
    </w:rPr>
  </w:style>
  <w:style w:type="paragraph" w:customStyle="1" w:styleId="160">
    <w:name w:val="标准文件_数字编号列项（二级）"/>
    <w:qFormat/>
    <w:uiPriority w:val="0"/>
    <w:pPr>
      <w:numPr>
        <w:ilvl w:val="1"/>
        <w:numId w:val="20"/>
      </w:numPr>
      <w:jc w:val="both"/>
    </w:pPr>
    <w:rPr>
      <w:rFonts w:ascii="宋体" w:hAnsi="Times New Roman" w:eastAsia="宋体" w:cs="Times New Roman"/>
      <w:sz w:val="21"/>
      <w:lang w:val="en-US" w:eastAsia="zh-CN" w:bidi="ar-SA"/>
    </w:rPr>
  </w:style>
  <w:style w:type="paragraph" w:customStyle="1" w:styleId="161">
    <w:name w:val="标准文件_编号列项（三级）"/>
    <w:qFormat/>
    <w:uiPriority w:val="0"/>
    <w:pPr>
      <w:numPr>
        <w:ilvl w:val="2"/>
        <w:numId w:val="20"/>
      </w:numPr>
    </w:pPr>
    <w:rPr>
      <w:rFonts w:ascii="宋体" w:hAnsi="Times New Roman" w:eastAsia="宋体" w:cs="Times New Roman"/>
      <w:sz w:val="21"/>
      <w:lang w:val="en-US" w:eastAsia="zh-CN" w:bidi="ar-SA"/>
    </w:rPr>
  </w:style>
  <w:style w:type="paragraph" w:customStyle="1" w:styleId="162">
    <w:name w:val="标准文件_字母编号列项（一级）"/>
    <w:autoRedefine/>
    <w:qFormat/>
    <w:uiPriority w:val="0"/>
    <w:pPr>
      <w:numPr>
        <w:ilvl w:val="0"/>
        <w:numId w:val="20"/>
      </w:numPr>
      <w:jc w:val="both"/>
    </w:pPr>
    <w:rPr>
      <w:rFonts w:ascii="宋体" w:hAnsi="Times New Roman" w:eastAsia="宋体" w:cs="Times New Roman"/>
      <w:sz w:val="21"/>
      <w:lang w:val="en-US" w:eastAsia="zh-CN" w:bidi="ar-SA"/>
    </w:rPr>
  </w:style>
  <w:style w:type="paragraph" w:customStyle="1" w:styleId="163">
    <w:name w:val="标准文件_二级条标题"/>
    <w:next w:val="1"/>
    <w:autoRedefine/>
    <w:qFormat/>
    <w:uiPriority w:val="0"/>
    <w:pPr>
      <w:widowControl w:val="0"/>
      <w:numPr>
        <w:ilvl w:val="3"/>
        <w:numId w:val="21"/>
      </w:numPr>
      <w:spacing w:beforeLines="50" w:afterLines="50"/>
      <w:jc w:val="both"/>
      <w:outlineLvl w:val="2"/>
    </w:pPr>
    <w:rPr>
      <w:rFonts w:ascii="黑体" w:hAnsi="Times New Roman" w:eastAsia="黑体" w:cs="Times New Roman"/>
      <w:sz w:val="21"/>
      <w:lang w:val="en-US" w:eastAsia="zh-CN" w:bidi="ar-SA"/>
    </w:rPr>
  </w:style>
  <w:style w:type="paragraph" w:customStyle="1" w:styleId="164">
    <w:name w:val="标准文件_三级条标题"/>
    <w:basedOn w:val="163"/>
    <w:next w:val="1"/>
    <w:qFormat/>
    <w:uiPriority w:val="0"/>
    <w:pPr>
      <w:widowControl/>
      <w:numPr>
        <w:ilvl w:val="4"/>
      </w:numPr>
      <w:outlineLvl w:val="3"/>
    </w:pPr>
  </w:style>
  <w:style w:type="paragraph" w:customStyle="1" w:styleId="165">
    <w:name w:val="标准文件_四级条标题"/>
    <w:next w:val="1"/>
    <w:autoRedefine/>
    <w:qFormat/>
    <w:uiPriority w:val="0"/>
    <w:pPr>
      <w:widowControl w:val="0"/>
      <w:numPr>
        <w:ilvl w:val="5"/>
        <w:numId w:val="21"/>
      </w:numPr>
      <w:spacing w:beforeLines="50" w:afterLines="50"/>
      <w:jc w:val="both"/>
      <w:outlineLvl w:val="4"/>
    </w:pPr>
    <w:rPr>
      <w:rFonts w:ascii="黑体" w:hAnsi="Times New Roman" w:eastAsia="黑体" w:cs="Times New Roman"/>
      <w:sz w:val="21"/>
      <w:lang w:val="en-US" w:eastAsia="zh-CN" w:bidi="ar-SA"/>
    </w:rPr>
  </w:style>
  <w:style w:type="paragraph" w:customStyle="1" w:styleId="166">
    <w:name w:val="标准文件_五级条标题"/>
    <w:next w:val="1"/>
    <w:autoRedefine/>
    <w:qFormat/>
    <w:uiPriority w:val="0"/>
    <w:pPr>
      <w:widowControl w:val="0"/>
      <w:numPr>
        <w:ilvl w:val="6"/>
        <w:numId w:val="21"/>
      </w:numPr>
      <w:spacing w:beforeLines="50" w:afterLines="50"/>
      <w:jc w:val="both"/>
      <w:outlineLvl w:val="5"/>
    </w:pPr>
    <w:rPr>
      <w:rFonts w:ascii="黑体" w:hAnsi="Times New Roman" w:eastAsia="黑体" w:cs="Times New Roman"/>
      <w:sz w:val="21"/>
      <w:lang w:val="en-US" w:eastAsia="zh-CN" w:bidi="ar-SA"/>
    </w:rPr>
  </w:style>
  <w:style w:type="paragraph" w:customStyle="1" w:styleId="167">
    <w:name w:val="标准文件_章标题"/>
    <w:next w:val="1"/>
    <w:qFormat/>
    <w:uiPriority w:val="0"/>
    <w:pPr>
      <w:numPr>
        <w:ilvl w:val="1"/>
        <w:numId w:val="21"/>
      </w:numPr>
      <w:spacing w:beforeLines="100" w:afterLines="100"/>
      <w:jc w:val="both"/>
      <w:outlineLvl w:val="0"/>
    </w:pPr>
    <w:rPr>
      <w:rFonts w:ascii="黑体" w:hAnsi="Times New Roman" w:eastAsia="黑体" w:cs="Times New Roman"/>
      <w:sz w:val="21"/>
      <w:lang w:val="en-US" w:eastAsia="zh-CN" w:bidi="ar-SA"/>
    </w:rPr>
  </w:style>
  <w:style w:type="paragraph" w:customStyle="1" w:styleId="168">
    <w:name w:val="标准文件_一级条标题"/>
    <w:basedOn w:val="167"/>
    <w:next w:val="1"/>
    <w:qFormat/>
    <w:uiPriority w:val="0"/>
    <w:pPr>
      <w:numPr>
        <w:ilvl w:val="2"/>
      </w:numPr>
      <w:spacing w:beforeLines="50" w:afterLines="50"/>
      <w:outlineLvl w:val="1"/>
    </w:pPr>
  </w:style>
  <w:style w:type="paragraph" w:customStyle="1" w:styleId="169">
    <w:name w:val="前言标题"/>
    <w:next w:val="1"/>
    <w:autoRedefine/>
    <w:qFormat/>
    <w:uiPriority w:val="0"/>
    <w:pPr>
      <w:numPr>
        <w:ilvl w:val="0"/>
        <w:numId w:val="2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70">
    <w:name w:val="标准文件_三级无标题"/>
    <w:basedOn w:val="164"/>
    <w:autoRedefine/>
    <w:qFormat/>
    <w:uiPriority w:val="0"/>
    <w:pPr>
      <w:spacing w:beforeLines="0" w:afterLines="0"/>
      <w:outlineLvl w:val="9"/>
    </w:pPr>
    <w:rPr>
      <w:rFonts w:ascii="宋体" w:eastAsia="宋体"/>
    </w:rPr>
  </w:style>
  <w:style w:type="character" w:customStyle="1" w:styleId="171">
    <w:name w:val="批注文字 Char"/>
    <w:qFormat/>
    <w:uiPriority w:val="0"/>
    <w:rPr>
      <w:kern w:val="2"/>
      <w:sz w:val="21"/>
      <w:szCs w:val="24"/>
    </w:rPr>
  </w:style>
  <w:style w:type="paragraph" w:customStyle="1" w:styleId="172">
    <w:name w:val="修订1"/>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173">
    <w:name w:val="A-z正文"/>
    <w:basedOn w:val="25"/>
    <w:link w:val="174"/>
    <w:autoRedefine/>
    <w:qFormat/>
    <w:uiPriority w:val="0"/>
  </w:style>
  <w:style w:type="character" w:customStyle="1" w:styleId="174">
    <w:name w:val="A-z正文 Char"/>
    <w:link w:val="173"/>
    <w:qFormat/>
    <w:uiPriority w:val="0"/>
    <w:rPr>
      <w:rFonts w:ascii="宋体"/>
      <w:sz w:val="21"/>
    </w:rPr>
  </w:style>
  <w:style w:type="paragraph" w:customStyle="1" w:styleId="175">
    <w:name w:val="A-题注-表"/>
    <w:basedOn w:val="7"/>
    <w:link w:val="176"/>
    <w:qFormat/>
    <w:uiPriority w:val="0"/>
    <w:pPr>
      <w:spacing w:beforeLines="50" w:after="0" w:line="360" w:lineRule="auto"/>
      <w:jc w:val="center"/>
    </w:pPr>
    <w:rPr>
      <w:rFonts w:ascii="Times New Roman" w:hAnsi="Times New Roman" w:eastAsia="宋体" w:cs="Times New Roman"/>
      <w:b/>
      <w:sz w:val="21"/>
    </w:rPr>
  </w:style>
  <w:style w:type="character" w:customStyle="1" w:styleId="176">
    <w:name w:val="A-题注-表 Char"/>
    <w:link w:val="175"/>
    <w:qFormat/>
    <w:uiPriority w:val="0"/>
    <w:rPr>
      <w:rFonts w:cs="Arial"/>
      <w:b/>
      <w:kern w:val="2"/>
      <w:sz w:val="21"/>
    </w:rPr>
  </w:style>
  <w:style w:type="paragraph" w:customStyle="1" w:styleId="177">
    <w:name w:val="样式 章标题 + 左侧:  0.93 厘米 段前: 1 行 段后: 1 行"/>
    <w:basedOn w:val="131"/>
    <w:qFormat/>
    <w:uiPriority w:val="0"/>
    <w:pPr>
      <w:numPr>
        <w:ilvl w:val="0"/>
        <w:numId w:val="22"/>
      </w:numPr>
      <w:adjustRightInd w:val="0"/>
      <w:snapToGrid w:val="0"/>
      <w:spacing w:beforeLines="0" w:afterLines="0"/>
      <w:outlineLvl w:val="2"/>
    </w:pPr>
    <w:rPr>
      <w:rFonts w:cs="宋体"/>
    </w:rPr>
  </w:style>
  <w:style w:type="paragraph" w:customStyle="1" w:styleId="178">
    <w:name w:val="【A】三级标题"/>
    <w:basedOn w:val="131"/>
    <w:autoRedefine/>
    <w:qFormat/>
    <w:uiPriority w:val="0"/>
    <w:pPr>
      <w:numPr>
        <w:ilvl w:val="0"/>
        <w:numId w:val="0"/>
      </w:numPr>
      <w:spacing w:beforeLines="50" w:afterLines="50"/>
      <w:ind w:left="530"/>
      <w:outlineLvl w:val="2"/>
    </w:pPr>
  </w:style>
  <w:style w:type="character" w:styleId="179">
    <w:name w:val="Placeholder Text"/>
    <w:basedOn w:val="37"/>
    <w:unhideWhenUsed/>
    <w:qFormat/>
    <w:uiPriority w:val="99"/>
    <w:rPr>
      <w:color w:val="808080"/>
    </w:rPr>
  </w:style>
  <w:style w:type="paragraph" w:customStyle="1" w:styleId="180">
    <w:name w:val="修订2"/>
    <w:hidden/>
    <w:unhideWhenUsed/>
    <w:qFormat/>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Info spid="_x0000_s1027"/>
    <customShpInfo spid="_x0000_s1028"/>
    <customShpInfo spid="_x0000_s1029"/>
    <customShpInfo spid="_x0000_s2058"/>
    <customShpInfo spid="_x0000_s205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C146A-9C6E-4E7F-87AE-034A44906035}">
  <ds:schemaRefs/>
</ds:datastoreItem>
</file>

<file path=docProps/app.xml><?xml version="1.0" encoding="utf-8"?>
<Properties xmlns="http://schemas.openxmlformats.org/officeDocument/2006/extended-properties" xmlns:vt="http://schemas.openxmlformats.org/officeDocument/2006/docPropsVTypes">
  <Template>Normal</Template>
  <Pages>7</Pages>
  <Words>3770</Words>
  <Characters>4389</Characters>
  <Lines>34</Lines>
  <Paragraphs>9</Paragraphs>
  <TotalTime>7</TotalTime>
  <ScaleCrop>false</ScaleCrop>
  <LinksUpToDate>false</LinksUpToDate>
  <CharactersWithSpaces>4475</CharactersWithSpaces>
  <Application>WPS Office_12.1.0.18345_F1E327BC-269C-435d-A152-05C5408002CA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2024-02-06T00:44:00Z</dcterms:created>
  <cp:lastPrinted>2020-04-22T00:56:00Z</cp:lastPrinted>
  <dcterms:modified xsi:type="dcterms:W3CDTF">2024-11-15T08:27:45Z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_2015_ms_pID_725343">
    <vt:lpwstr>(3)rT/gvlBFHuHwxSzGCrniRuwPDeO/tug0IiSR6AH2kBL3dGZhoS/D7/Q/xk8ZqxA1fZoNLmg5_x000d_
48aUPB9/Ai0Cx9Mib/hik7UYgpfAZbp/FRuLy1EUor7jAtgL2K3SpmFHIVLzVz7KZ4qF1V7n_x000d_
akGiVwLg8EEyOf+ilVIbWJe686vBd3bWJXJ2o6uWrcf5UknMmJAJ38wOajVyFfllkfkSswk3_x000d_
q4uMRjx0R3L03eYNwu</vt:lpwstr>
  </property>
  <property fmtid="{D5CDD505-2E9C-101B-9397-08002B2CF9AE}" pid="4" name="_2015_ms_pID_7253431">
    <vt:lpwstr>8333yZQkuD7ry8nzd1x13e+wy0is0wzSa4rl5Xmbwvfc8WDX7dDZwK_x000d_
vwHj8rdIYCE2rEKrC/DeXAEJzjli9hublkSwJ6cZhTgseIerXKcUiDvkkHcblQmBf7n13UaF_x000d_
xj5WLoxRWReve+g+E0VKOkggwsstJo16T72PcCNdisDW6Dxii2D6LrbeDKT10jeWXPzLHMSE_x000d_
n2pfplJVOZylYWzHH9LpWSGjiKbHz114FQQt</vt:lpwstr>
  </property>
  <property fmtid="{D5CDD505-2E9C-101B-9397-08002B2CF9AE}" pid="5" name="_2015_ms_pID_7253432">
    <vt:lpwstr>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1658730050</vt:lpwstr>
  </property>
  <property fmtid="{D5CDD505-2E9C-101B-9397-08002B2CF9AE}" pid="10" name="ICV">
    <vt:lpwstr>D8FA000FBCFC4117ACB9EB5DE8E323D4</vt:lpwstr>
  </property>
</Properties>
</file>